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F78182">
      <w:pPr>
        <w:shd w:val="clear" w:color="auto" w:fill="FFFFFF"/>
        <w:spacing w:line="300" w:lineRule="atLeast"/>
        <w:ind w:firstLine="420"/>
        <w:jc w:val="center"/>
        <w:rPr>
          <w:rFonts w:hint="eastAsia"/>
          <w:b/>
          <w:sz w:val="32"/>
          <w:szCs w:val="32"/>
          <w:lang w:val="en-US" w:eastAsia="zh-CN"/>
        </w:rPr>
      </w:pPr>
      <w:r>
        <w:rPr>
          <w:rFonts w:hint="eastAsia"/>
          <w:b/>
          <w:sz w:val="32"/>
          <w:szCs w:val="32"/>
          <w:lang w:val="en-US" w:eastAsia="zh-CN"/>
        </w:rPr>
        <w:t>储气罐安装及辅助检验竞价公告</w:t>
      </w:r>
    </w:p>
    <w:p w14:paraId="6FA1B8B2">
      <w:pPr>
        <w:shd w:val="clear" w:color="auto" w:fill="FFFFFF"/>
        <w:spacing w:line="300" w:lineRule="atLeast"/>
        <w:ind w:firstLine="420"/>
        <w:jc w:val="center"/>
        <w:rPr>
          <w:rFonts w:hint="default" w:ascii="仿宋" w:hAnsi="仿宋" w:eastAsia="仿宋"/>
          <w:color w:val="333333"/>
          <w:sz w:val="32"/>
          <w:szCs w:val="32"/>
          <w:lang w:val="en-US"/>
        </w:rPr>
      </w:pPr>
      <w:r>
        <w:rPr>
          <w:rFonts w:hint="eastAsia"/>
          <w:b/>
          <w:sz w:val="32"/>
          <w:szCs w:val="32"/>
          <w:lang w:val="en-US" w:eastAsia="zh-CN"/>
        </w:rPr>
        <w:t>（二次挂网）</w:t>
      </w:r>
    </w:p>
    <w:p w14:paraId="1982CD8E">
      <w:pPr>
        <w:numPr>
          <w:ilvl w:val="0"/>
          <w:numId w:val="1"/>
        </w:numPr>
        <w:spacing w:line="360" w:lineRule="auto"/>
        <w:rPr>
          <w:rFonts w:hint="eastAsia"/>
          <w:sz w:val="24"/>
          <w:lang w:val="en-US" w:eastAsia="zh-CN"/>
        </w:rPr>
      </w:pPr>
      <w:r>
        <w:rPr>
          <w:rFonts w:hint="eastAsia"/>
          <w:sz w:val="24"/>
          <w:lang w:val="en-US" w:eastAsia="zh-CN"/>
        </w:rPr>
        <w:t>工程项目编号： LHTY-20240327-001</w:t>
      </w:r>
    </w:p>
    <w:p w14:paraId="64FC54E7">
      <w:pPr>
        <w:numPr>
          <w:ilvl w:val="0"/>
          <w:numId w:val="1"/>
        </w:numPr>
        <w:spacing w:line="360" w:lineRule="auto"/>
        <w:rPr>
          <w:rFonts w:hint="eastAsia"/>
          <w:sz w:val="24"/>
          <w:lang w:val="en-US" w:eastAsia="zh-CN"/>
        </w:rPr>
      </w:pPr>
      <w:r>
        <w:rPr>
          <w:rFonts w:hint="eastAsia"/>
          <w:sz w:val="24"/>
          <w:lang w:val="en-US" w:eastAsia="zh-CN"/>
        </w:rPr>
        <w:t xml:space="preserve">发　布日　期：2024年4月7日 </w:t>
      </w:r>
    </w:p>
    <w:p w14:paraId="56026396">
      <w:pPr>
        <w:numPr>
          <w:ilvl w:val="0"/>
          <w:numId w:val="2"/>
        </w:numPr>
        <w:spacing w:line="360" w:lineRule="auto"/>
        <w:rPr>
          <w:rFonts w:hint="eastAsia"/>
          <w:b/>
          <w:sz w:val="24"/>
        </w:rPr>
      </w:pPr>
      <w:r>
        <w:rPr>
          <w:rFonts w:hint="eastAsia"/>
          <w:b/>
          <w:sz w:val="24"/>
        </w:rPr>
        <w:t>概况</w:t>
      </w:r>
    </w:p>
    <w:p w14:paraId="49EDFA65">
      <w:pPr>
        <w:numPr>
          <w:ilvl w:val="0"/>
          <w:numId w:val="0"/>
        </w:numPr>
        <w:spacing w:line="360" w:lineRule="auto"/>
        <w:rPr>
          <w:rFonts w:hint="eastAsia"/>
          <w:b/>
          <w:sz w:val="24"/>
        </w:rPr>
      </w:pPr>
      <w:r>
        <w:rPr>
          <w:rFonts w:hint="eastAsia"/>
          <w:sz w:val="24"/>
          <w:lang w:val="en-US" w:eastAsia="zh-CN"/>
        </w:rPr>
        <w:t>甲方：张家港联合铜业有限公司      乙方：储罐安装辅助检验方</w:t>
      </w:r>
    </w:p>
    <w:p w14:paraId="56A8AA9E">
      <w:pPr>
        <w:numPr>
          <w:ilvl w:val="0"/>
          <w:numId w:val="1"/>
        </w:numPr>
        <w:spacing w:line="360" w:lineRule="auto"/>
        <w:rPr>
          <w:rFonts w:hint="eastAsia"/>
          <w:sz w:val="24"/>
        </w:rPr>
      </w:pPr>
      <w:r>
        <w:rPr>
          <w:rFonts w:hint="eastAsia"/>
          <w:sz w:val="24"/>
        </w:rPr>
        <w:t>内容：厂区</w:t>
      </w:r>
      <w:r>
        <w:rPr>
          <w:rFonts w:hint="eastAsia"/>
          <w:sz w:val="24"/>
          <w:lang w:val="en-US" w:eastAsia="zh-CN"/>
        </w:rPr>
        <w:t>空压机储罐安装及辅助检验工作</w:t>
      </w:r>
    </w:p>
    <w:p w14:paraId="324B3DB3">
      <w:pPr>
        <w:numPr>
          <w:ilvl w:val="0"/>
          <w:numId w:val="1"/>
        </w:numPr>
        <w:spacing w:line="360" w:lineRule="auto"/>
        <w:rPr>
          <w:rFonts w:hint="default"/>
          <w:sz w:val="24"/>
          <w:lang w:val="en-US"/>
        </w:rPr>
      </w:pPr>
      <w:r>
        <w:rPr>
          <w:rFonts w:hint="eastAsia"/>
          <w:sz w:val="24"/>
          <w:lang w:val="en-US" w:eastAsia="zh-CN"/>
        </w:rPr>
        <w:t>数量：20m³储罐1个，3m³储罐1个。</w:t>
      </w:r>
    </w:p>
    <w:p w14:paraId="1C64EC50">
      <w:pPr>
        <w:numPr>
          <w:ilvl w:val="0"/>
          <w:numId w:val="3"/>
        </w:numPr>
        <w:spacing w:line="360" w:lineRule="auto"/>
        <w:rPr>
          <w:rFonts w:hint="eastAsia"/>
          <w:b/>
          <w:sz w:val="24"/>
        </w:rPr>
      </w:pPr>
      <w:r>
        <w:rPr>
          <w:rFonts w:hint="eastAsia"/>
          <w:b/>
          <w:sz w:val="24"/>
        </w:rPr>
        <w:t>内容及范围</w:t>
      </w:r>
    </w:p>
    <w:p w14:paraId="50D4FC42">
      <w:pPr>
        <w:numPr>
          <w:ilvl w:val="0"/>
          <w:numId w:val="0"/>
        </w:numPr>
        <w:spacing w:line="360" w:lineRule="auto"/>
        <w:rPr>
          <w:rFonts w:hint="default" w:eastAsia="宋体"/>
          <w:b w:val="0"/>
          <w:bCs/>
          <w:sz w:val="24"/>
          <w:lang w:val="en-US" w:eastAsia="zh-CN"/>
        </w:rPr>
      </w:pPr>
      <w:r>
        <w:rPr>
          <w:rFonts w:hint="eastAsia"/>
          <w:b w:val="0"/>
          <w:bCs/>
          <w:sz w:val="24"/>
          <w:lang w:val="en-US" w:eastAsia="zh-CN"/>
        </w:rPr>
        <w:t>1、技术指标</w:t>
      </w:r>
    </w:p>
    <w:p w14:paraId="08CB9DDC">
      <w:pPr>
        <w:widowControl w:val="0"/>
        <w:numPr>
          <w:ilvl w:val="0"/>
          <w:numId w:val="0"/>
        </w:numPr>
        <w:spacing w:line="360" w:lineRule="auto"/>
        <w:jc w:val="both"/>
        <w:rPr>
          <w:rFonts w:hint="eastAsia"/>
          <w:b/>
          <w:sz w:val="24"/>
        </w:rPr>
      </w:pPr>
      <w:r>
        <w:rPr>
          <w:rFonts w:hint="eastAsia" w:eastAsia="宋体"/>
          <w:lang w:eastAsia="zh-CN"/>
        </w:rPr>
        <w:drawing>
          <wp:inline distT="0" distB="0" distL="114300" distR="114300">
            <wp:extent cx="5165725" cy="3479800"/>
            <wp:effectExtent l="0" t="0" r="15875" b="6350"/>
            <wp:docPr id="2" name="图片 1" descr="0bcf61d2af66a51c7dc7cf6d6b485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descr="0bcf61d2af66a51c7dc7cf6d6b48558"/>
                    <pic:cNvPicPr>
                      <a:picLocks noChangeAspect="1"/>
                    </pic:cNvPicPr>
                  </pic:nvPicPr>
                  <pic:blipFill>
                    <a:blip r:embed="rId6"/>
                    <a:stretch>
                      <a:fillRect/>
                    </a:stretch>
                  </pic:blipFill>
                  <pic:spPr>
                    <a:xfrm>
                      <a:off x="0" y="0"/>
                      <a:ext cx="5165725" cy="3479800"/>
                    </a:xfrm>
                    <a:prstGeom prst="rect">
                      <a:avLst/>
                    </a:prstGeom>
                    <a:noFill/>
                    <a:ln>
                      <a:noFill/>
                    </a:ln>
                  </pic:spPr>
                </pic:pic>
              </a:graphicData>
            </a:graphic>
          </wp:inline>
        </w:drawing>
      </w:r>
    </w:p>
    <w:p w14:paraId="3B1A6EEA">
      <w:pPr>
        <w:numPr>
          <w:ilvl w:val="0"/>
          <w:numId w:val="0"/>
        </w:numPr>
        <w:spacing w:line="360" w:lineRule="auto"/>
        <w:ind w:leftChars="0"/>
        <w:rPr>
          <w:rFonts w:hint="eastAsia"/>
          <w:sz w:val="24"/>
        </w:rPr>
      </w:pPr>
      <w:r>
        <w:rPr>
          <w:rFonts w:hint="eastAsia"/>
          <w:sz w:val="24"/>
          <w:lang w:val="en-US" w:eastAsia="zh-CN"/>
        </w:rPr>
        <w:t>2、乙方</w:t>
      </w:r>
      <w:r>
        <w:rPr>
          <w:rFonts w:hint="eastAsia"/>
          <w:sz w:val="24"/>
        </w:rPr>
        <w:t>工程范围：厂区</w:t>
      </w:r>
      <w:r>
        <w:rPr>
          <w:rFonts w:hint="eastAsia"/>
          <w:sz w:val="24"/>
          <w:lang w:val="en-US" w:eastAsia="zh-CN"/>
        </w:rPr>
        <w:t>储罐安装</w:t>
      </w:r>
      <w:r>
        <w:rPr>
          <w:rFonts w:hint="eastAsia"/>
          <w:sz w:val="24"/>
        </w:rPr>
        <w:t>辅助检验工作，包括：</w:t>
      </w:r>
      <w:r>
        <w:rPr>
          <w:rFonts w:hint="eastAsia"/>
          <w:sz w:val="24"/>
          <w:lang w:val="en-US" w:eastAsia="zh-CN"/>
        </w:rPr>
        <w:t>旧储罐拆除、新储罐安装、</w:t>
      </w:r>
      <w:r>
        <w:rPr>
          <w:rFonts w:hint="eastAsia"/>
          <w:sz w:val="24"/>
        </w:rPr>
        <w:t>配合</w:t>
      </w:r>
      <w:r>
        <w:rPr>
          <w:rFonts w:hint="eastAsia"/>
          <w:sz w:val="24"/>
          <w:lang w:val="en-US" w:eastAsia="zh-CN"/>
        </w:rPr>
        <w:t>储罐供货</w:t>
      </w:r>
      <w:r>
        <w:rPr>
          <w:rFonts w:hint="eastAsia"/>
          <w:sz w:val="24"/>
        </w:rPr>
        <w:t>单位收集材料、</w:t>
      </w:r>
      <w:r>
        <w:rPr>
          <w:rFonts w:hint="eastAsia"/>
          <w:sz w:val="24"/>
          <w:lang w:val="en-US" w:eastAsia="zh-CN"/>
        </w:rPr>
        <w:t>安装告知手续办理、</w:t>
      </w:r>
      <w:r>
        <w:rPr>
          <w:rFonts w:hint="eastAsia"/>
          <w:sz w:val="24"/>
        </w:rPr>
        <w:t>检验前准备工作、配合张家港市特检院管道焊缝X射线探伤工作、无损检测工作、压力试验工作、静电电阻测试工作、检验检测部位的打磨工作等。</w:t>
      </w:r>
    </w:p>
    <w:p w14:paraId="21F6B82A">
      <w:pPr>
        <w:numPr>
          <w:ilvl w:val="0"/>
          <w:numId w:val="1"/>
        </w:numPr>
        <w:spacing w:line="360" w:lineRule="auto"/>
        <w:ind w:left="0" w:leftChars="0" w:firstLine="0" w:firstLineChars="0"/>
        <w:rPr>
          <w:rFonts w:hint="eastAsia"/>
          <w:sz w:val="24"/>
        </w:rPr>
      </w:pPr>
      <w:r>
        <w:rPr>
          <w:rFonts w:hint="eastAsia"/>
          <w:sz w:val="24"/>
          <w:lang w:val="en-US" w:eastAsia="zh-CN"/>
        </w:rPr>
        <w:t>除上述外，乙方还负责储罐的位置固定工作（基础固定），压力表安全阀安装报检工作、与压缩空气管道的对接工作，对接需要的法兰垫片和螺栓（8.8级）由乙方提供，安装需要的吊车以及检验费用，均由乙方负责。</w:t>
      </w:r>
    </w:p>
    <w:p w14:paraId="6FAA245F">
      <w:pPr>
        <w:numPr>
          <w:ilvl w:val="0"/>
          <w:numId w:val="1"/>
        </w:numPr>
        <w:spacing w:line="360" w:lineRule="auto"/>
        <w:rPr>
          <w:rFonts w:hint="eastAsia"/>
          <w:sz w:val="24"/>
        </w:rPr>
      </w:pPr>
      <w:r>
        <w:rPr>
          <w:rFonts w:hint="eastAsia"/>
          <w:sz w:val="24"/>
        </w:rPr>
        <w:t>付款方式：经张家港市特检院检验合格</w:t>
      </w:r>
      <w:r>
        <w:rPr>
          <w:rFonts w:hint="eastAsia"/>
          <w:sz w:val="24"/>
          <w:lang w:val="en-US" w:eastAsia="zh-CN"/>
        </w:rPr>
        <w:t>取得检验报告</w:t>
      </w:r>
      <w:r>
        <w:rPr>
          <w:rFonts w:hint="eastAsia"/>
          <w:sz w:val="24"/>
        </w:rPr>
        <w:t>后支付</w:t>
      </w:r>
      <w:r>
        <w:rPr>
          <w:rFonts w:hint="eastAsia"/>
          <w:sz w:val="24"/>
          <w:lang w:val="en-US" w:eastAsia="zh-CN"/>
        </w:rPr>
        <w:t>97%作为验收款</w:t>
      </w:r>
      <w:r>
        <w:rPr>
          <w:rFonts w:hint="eastAsia"/>
          <w:sz w:val="24"/>
        </w:rPr>
        <w:t>，</w:t>
      </w:r>
      <w:r>
        <w:rPr>
          <w:rFonts w:hint="eastAsia"/>
          <w:sz w:val="24"/>
          <w:lang w:val="en-US" w:eastAsia="zh-CN"/>
        </w:rPr>
        <w:t>余款3%质保金，质保期一年后付清。乙方</w:t>
      </w:r>
      <w:r>
        <w:rPr>
          <w:rFonts w:hint="eastAsia"/>
          <w:sz w:val="24"/>
        </w:rPr>
        <w:t>报价含13%增值税发票，如不能开具需注明实开税率。</w:t>
      </w:r>
    </w:p>
    <w:p w14:paraId="0E86677B">
      <w:pPr>
        <w:numPr>
          <w:ilvl w:val="0"/>
          <w:numId w:val="3"/>
        </w:numPr>
        <w:spacing w:line="360" w:lineRule="auto"/>
        <w:ind w:left="0" w:leftChars="0" w:firstLine="0" w:firstLineChars="0"/>
        <w:rPr>
          <w:rFonts w:hint="eastAsia"/>
          <w:b/>
          <w:sz w:val="24"/>
          <w:lang w:val="en-US" w:eastAsia="zh-CN"/>
        </w:rPr>
      </w:pPr>
      <w:r>
        <w:rPr>
          <w:rFonts w:hint="eastAsia"/>
          <w:b/>
          <w:sz w:val="24"/>
          <w:lang w:val="en-US" w:eastAsia="zh-CN"/>
        </w:rPr>
        <w:t>资质</w:t>
      </w:r>
    </w:p>
    <w:p w14:paraId="589EFF52">
      <w:pPr>
        <w:numPr>
          <w:ilvl w:val="0"/>
          <w:numId w:val="0"/>
        </w:numPr>
        <w:spacing w:line="360" w:lineRule="auto"/>
        <w:ind w:leftChars="0" w:firstLine="480" w:firstLineChars="200"/>
        <w:rPr>
          <w:rFonts w:hint="eastAsia"/>
          <w:b w:val="0"/>
          <w:bCs/>
          <w:sz w:val="24"/>
          <w:lang w:val="en-US" w:eastAsia="zh-CN"/>
        </w:rPr>
      </w:pPr>
      <w:r>
        <w:rPr>
          <w:rFonts w:hint="eastAsia"/>
          <w:b w:val="0"/>
          <w:bCs/>
          <w:sz w:val="24"/>
          <w:lang w:val="en-US" w:eastAsia="zh-CN"/>
        </w:rPr>
        <w:t>乙方提供《压力容器安装改造维修许可证（一类、二类）》，报价单注明工期、安装人员相关证件等。</w:t>
      </w:r>
    </w:p>
    <w:p w14:paraId="50818E93">
      <w:pPr>
        <w:numPr>
          <w:ilvl w:val="0"/>
          <w:numId w:val="0"/>
        </w:numPr>
        <w:spacing w:line="360" w:lineRule="auto"/>
        <w:rPr>
          <w:rFonts w:hint="default"/>
          <w:b/>
          <w:bCs w:val="0"/>
          <w:sz w:val="24"/>
          <w:lang w:val="en-US" w:eastAsia="zh-CN"/>
        </w:rPr>
      </w:pPr>
      <w:r>
        <w:rPr>
          <w:rFonts w:hint="eastAsia"/>
          <w:b/>
          <w:bCs w:val="0"/>
          <w:sz w:val="24"/>
          <w:lang w:val="en-US" w:eastAsia="zh-CN"/>
        </w:rPr>
        <w:t>四</w:t>
      </w:r>
      <w:r>
        <w:rPr>
          <w:rFonts w:hint="default"/>
          <w:b/>
          <w:bCs w:val="0"/>
          <w:sz w:val="24"/>
          <w:lang w:val="en-US" w:eastAsia="zh-CN"/>
        </w:rPr>
        <w:t>：双方责任</w:t>
      </w:r>
    </w:p>
    <w:p w14:paraId="27A92FB9">
      <w:pPr>
        <w:numPr>
          <w:ilvl w:val="0"/>
          <w:numId w:val="0"/>
        </w:numPr>
        <w:spacing w:line="360" w:lineRule="auto"/>
        <w:ind w:firstLine="480" w:firstLineChars="200"/>
        <w:rPr>
          <w:rFonts w:hint="default"/>
          <w:b w:val="0"/>
          <w:bCs/>
          <w:sz w:val="24"/>
          <w:lang w:val="en-US" w:eastAsia="zh-CN"/>
        </w:rPr>
      </w:pPr>
      <w:r>
        <w:rPr>
          <w:rFonts w:hint="default"/>
          <w:b w:val="0"/>
          <w:bCs/>
          <w:sz w:val="24"/>
          <w:lang w:val="en-US" w:eastAsia="zh-CN"/>
        </w:rPr>
        <w:t>1、甲方责任：监督乙方现场施工质量，如发现施工质量或安全问题，甲方有权要求乙方整改，包括停工。</w:t>
      </w:r>
    </w:p>
    <w:p w14:paraId="43414C08">
      <w:pPr>
        <w:numPr>
          <w:ilvl w:val="0"/>
          <w:numId w:val="0"/>
        </w:numPr>
        <w:spacing w:line="360" w:lineRule="auto"/>
        <w:ind w:firstLine="480" w:firstLineChars="200"/>
        <w:rPr>
          <w:rFonts w:hint="default"/>
          <w:b w:val="0"/>
          <w:bCs/>
          <w:sz w:val="24"/>
          <w:lang w:val="en-US" w:eastAsia="zh-CN"/>
        </w:rPr>
      </w:pPr>
      <w:r>
        <w:rPr>
          <w:rFonts w:hint="default"/>
          <w:b w:val="0"/>
          <w:bCs/>
          <w:sz w:val="24"/>
          <w:lang w:val="en-US" w:eastAsia="zh-CN"/>
        </w:rPr>
        <w:t>2、乙方责任：服从甲方管理制度，注意安全，保证质量及工期。乙方进场人员应配齐相应的劳保用品，进场前乙方到甲方安环部接受安全教育并签订安全管理、施工协议书，需要进行特种作业的应提供相关证件，并在安环部进行报备，缴纳5000元安全风险押金，违反《张家港联合铜业有限公司外协队伍安全管理办法》（按最新版执行），按该办法内容进行处罚，安全施工结束且双方无争议后押金退还，施工期间施工工作范围内安全工作由乙方指定安全人员负责现场监管，如发生工伤及其他伤亡事故，由乙方自行解决和赔偿，与甲方无涉。</w:t>
      </w:r>
    </w:p>
    <w:p w14:paraId="01E3FF41">
      <w:pPr>
        <w:numPr>
          <w:ilvl w:val="0"/>
          <w:numId w:val="0"/>
        </w:numPr>
        <w:spacing w:line="360" w:lineRule="auto"/>
        <w:rPr>
          <w:rFonts w:hint="eastAsia" w:ascii="仿宋" w:hAnsi="仿宋" w:eastAsia="仿宋"/>
          <w:b/>
          <w:sz w:val="32"/>
          <w:lang w:val="en-US" w:eastAsia="zh-CN"/>
        </w:rPr>
      </w:pPr>
      <w:r>
        <w:rPr>
          <w:rFonts w:hint="eastAsia" w:ascii="Times New Roman" w:hAnsi="Times New Roman" w:eastAsia="宋体" w:cs="Times New Roman"/>
          <w:b/>
          <w:bCs w:val="0"/>
          <w:kern w:val="2"/>
          <w:sz w:val="24"/>
          <w:szCs w:val="24"/>
          <w:lang w:val="en-US" w:eastAsia="zh-CN" w:bidi="ar-SA"/>
        </w:rPr>
        <w:t>五、评标方式</w:t>
      </w:r>
    </w:p>
    <w:p w14:paraId="52C6A6E2">
      <w:pPr>
        <w:spacing w:line="480" w:lineRule="auto"/>
        <w:ind w:firstLine="240" w:firstLineChars="100"/>
        <w:jc w:val="left"/>
        <w:rPr>
          <w:rFonts w:hint="eastAsia"/>
          <w:bCs/>
          <w:sz w:val="24"/>
        </w:rPr>
      </w:pPr>
      <w:r>
        <w:rPr>
          <w:rFonts w:hint="eastAsia"/>
          <w:bCs/>
          <w:sz w:val="24"/>
          <w:highlight w:val="red"/>
        </w:rPr>
        <w:t xml:space="preserve">本次竞价评标方式为满足询价人要求的前提下最低价中标。  </w:t>
      </w:r>
      <w:r>
        <w:rPr>
          <w:rFonts w:hint="eastAsia"/>
          <w:bCs/>
          <w:sz w:val="24"/>
        </w:rPr>
        <w:t xml:space="preserve">       </w:t>
      </w:r>
    </w:p>
    <w:p w14:paraId="0F04AB0A">
      <w:pPr>
        <w:numPr>
          <w:ilvl w:val="0"/>
          <w:numId w:val="0"/>
        </w:numPr>
        <w:spacing w:line="360" w:lineRule="auto"/>
        <w:rPr>
          <w:rFonts w:hint="eastAsia"/>
          <w:b/>
          <w:bCs w:val="0"/>
          <w:sz w:val="24"/>
          <w:lang w:val="en-US" w:eastAsia="zh-CN"/>
        </w:rPr>
      </w:pPr>
      <w:r>
        <w:rPr>
          <w:rFonts w:hint="eastAsia"/>
          <w:b/>
          <w:bCs w:val="0"/>
          <w:sz w:val="24"/>
          <w:lang w:val="en-US" w:eastAsia="zh-CN"/>
        </w:rPr>
        <w:t>六、报价截止时间</w:t>
      </w:r>
    </w:p>
    <w:p w14:paraId="05922C55">
      <w:pPr>
        <w:numPr>
          <w:ilvl w:val="0"/>
          <w:numId w:val="0"/>
        </w:numPr>
        <w:spacing w:line="360" w:lineRule="auto"/>
        <w:ind w:firstLine="480" w:firstLineChars="200"/>
        <w:rPr>
          <w:rFonts w:hint="default"/>
          <w:b w:val="0"/>
          <w:bCs/>
          <w:sz w:val="24"/>
          <w:lang w:val="en-US" w:eastAsia="zh-CN"/>
        </w:rPr>
      </w:pPr>
      <w:r>
        <w:rPr>
          <w:rFonts w:hint="eastAsia"/>
          <w:b w:val="0"/>
          <w:bCs/>
          <w:sz w:val="24"/>
          <w:highlight w:val="red"/>
          <w:lang w:val="en-US" w:eastAsia="zh-CN"/>
        </w:rPr>
        <w:t>2024年4月14日09:00 时，</w:t>
      </w:r>
      <w:r>
        <w:rPr>
          <w:rFonts w:hint="eastAsia"/>
          <w:b w:val="0"/>
          <w:bCs/>
          <w:sz w:val="24"/>
          <w:lang w:val="en-US" w:eastAsia="zh-CN"/>
        </w:rPr>
        <w:t>逾期送达或未送达指定地点的报价文件不予受理。</w:t>
      </w:r>
    </w:p>
    <w:p w14:paraId="15063ABE">
      <w:pPr>
        <w:numPr>
          <w:ilvl w:val="0"/>
          <w:numId w:val="0"/>
        </w:numPr>
        <w:spacing w:line="360" w:lineRule="auto"/>
        <w:rPr>
          <w:rFonts w:hint="eastAsia"/>
          <w:b/>
          <w:bCs w:val="0"/>
          <w:sz w:val="24"/>
          <w:lang w:val="en-US" w:eastAsia="zh-CN"/>
        </w:rPr>
      </w:pPr>
      <w:r>
        <w:rPr>
          <w:rFonts w:hint="eastAsia"/>
          <w:b/>
          <w:bCs w:val="0"/>
          <w:sz w:val="24"/>
          <w:lang w:val="en-US" w:eastAsia="zh-CN"/>
        </w:rPr>
        <w:t>七、报价文件接收单位及相关联系人：</w:t>
      </w:r>
    </w:p>
    <w:p w14:paraId="160D4CA0">
      <w:pPr>
        <w:numPr>
          <w:ilvl w:val="0"/>
          <w:numId w:val="0"/>
        </w:numPr>
        <w:spacing w:line="360" w:lineRule="auto"/>
        <w:ind w:firstLine="480" w:firstLineChars="200"/>
        <w:rPr>
          <w:rFonts w:hint="default"/>
          <w:b w:val="0"/>
          <w:bCs/>
          <w:sz w:val="24"/>
          <w:lang w:val="en-US" w:eastAsia="zh-CN"/>
        </w:rPr>
      </w:pPr>
      <w:r>
        <w:rPr>
          <w:rFonts w:hint="eastAsia"/>
          <w:b w:val="0"/>
          <w:bCs/>
          <w:sz w:val="24"/>
          <w:lang w:val="en-US" w:eastAsia="zh-CN"/>
        </w:rPr>
        <w:t xml:space="preserve">文件提交地址：张家港市锦丰镇三兴街道2202号，张家港联合铜业有限公司综合部招标办；邮编：215624 </w:t>
      </w:r>
    </w:p>
    <w:p w14:paraId="4DDC8402">
      <w:pPr>
        <w:numPr>
          <w:ilvl w:val="0"/>
          <w:numId w:val="0"/>
        </w:numPr>
        <w:spacing w:line="360" w:lineRule="auto"/>
        <w:ind w:firstLine="480" w:firstLineChars="200"/>
        <w:rPr>
          <w:rFonts w:hint="default"/>
          <w:b w:val="0"/>
          <w:bCs/>
          <w:sz w:val="24"/>
          <w:lang w:val="en-US" w:eastAsia="zh-CN"/>
        </w:rPr>
      </w:pPr>
      <w:r>
        <w:rPr>
          <w:rFonts w:hint="eastAsia"/>
          <w:b w:val="0"/>
          <w:bCs/>
          <w:sz w:val="24"/>
          <w:lang w:val="en-US" w:eastAsia="zh-CN"/>
        </w:rPr>
        <w:t>接收时间：投标截止日期前每天8：00至11：30，13：30至16：30，节假日除外。</w:t>
      </w:r>
    </w:p>
    <w:p w14:paraId="4BBBE4A8">
      <w:pPr>
        <w:numPr>
          <w:ilvl w:val="0"/>
          <w:numId w:val="0"/>
        </w:numPr>
        <w:spacing w:line="360" w:lineRule="auto"/>
        <w:ind w:firstLine="480" w:firstLineChars="200"/>
        <w:rPr>
          <w:rFonts w:hint="default"/>
          <w:b w:val="0"/>
          <w:bCs/>
          <w:sz w:val="24"/>
          <w:lang w:val="en-US" w:eastAsia="zh-CN"/>
        </w:rPr>
      </w:pPr>
      <w:r>
        <w:rPr>
          <w:rFonts w:hint="eastAsia"/>
          <w:b w:val="0"/>
          <w:bCs/>
          <w:sz w:val="24"/>
          <w:lang w:val="en-US" w:eastAsia="zh-CN"/>
        </w:rPr>
        <w:t>投标联系人：侯燕州（0512-58572608）</w:t>
      </w:r>
      <w:bookmarkStart w:id="0" w:name="_GoBack"/>
      <w:bookmarkEnd w:id="0"/>
    </w:p>
    <w:p w14:paraId="275D29EF">
      <w:pPr>
        <w:numPr>
          <w:ilvl w:val="0"/>
          <w:numId w:val="0"/>
        </w:numPr>
        <w:spacing w:line="360" w:lineRule="auto"/>
        <w:ind w:firstLine="480" w:firstLineChars="200"/>
        <w:rPr>
          <w:rFonts w:hint="default"/>
          <w:lang w:val="en-US"/>
        </w:rPr>
      </w:pPr>
      <w:r>
        <w:rPr>
          <w:rFonts w:hint="eastAsia"/>
          <w:b w:val="0"/>
          <w:bCs/>
          <w:sz w:val="24"/>
          <w:lang w:val="en-US" w:eastAsia="zh-CN"/>
        </w:rPr>
        <w:t>业务咨询联系人：机动能源部  程卓（0512-58537015）手机：13773230925</w:t>
      </w:r>
    </w:p>
    <w:sectPr>
      <w:headerReference r:id="rId3" w:type="default"/>
      <w:footerReference r:id="rId4" w:type="default"/>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B400EA">
    <w:pPr>
      <w:pStyle w:val="5"/>
      <w:ind w:right="36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26DD14E8">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14:paraId="26DD14E8">
                    <w:pPr>
                      <w:snapToGrid w:val="0"/>
                      <w:rPr>
                        <w:rFonts w:hint="eastAsia"/>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8</w:t>
                    </w:r>
                    <w:r>
                      <w:rPr>
                        <w:rFonts w:hint="eastAsia"/>
                        <w:sz w:val="18"/>
                      </w:rPr>
                      <w:fldChar w:fldCharType="end"/>
                    </w:r>
                    <w:r>
                      <w:rPr>
                        <w:rFonts w:hint="eastAsia"/>
                        <w:sz w:val="18"/>
                      </w:rPr>
                      <w:t xml:space="preserve"> 页 共 </w:t>
                    </w:r>
                    <w:r>
                      <w:rPr>
                        <w:rFonts w:hint="eastAsia"/>
                        <w:sz w:val="18"/>
                      </w:rPr>
                      <w:fldChar w:fldCharType="begin"/>
                    </w:r>
                    <w:r>
                      <w:rPr>
                        <w:rFonts w:hint="eastAsia"/>
                        <w:sz w:val="18"/>
                      </w:rPr>
                      <w:instrText xml:space="preserve"> NUMPAGES  \* MERGEFORMAT </w:instrText>
                    </w:r>
                    <w:r>
                      <w:rPr>
                        <w:rFonts w:hint="eastAsia"/>
                        <w:sz w:val="18"/>
                      </w:rPr>
                      <w:fldChar w:fldCharType="separate"/>
                    </w:r>
                    <w:r>
                      <w:rPr>
                        <w:sz w:val="18"/>
                      </w:rPr>
                      <w:t>11</w:t>
                    </w:r>
                    <w:r>
                      <w:rPr>
                        <w:rFonts w:hint="eastAsia"/>
                        <w:sz w:val="18"/>
                      </w:rPr>
                      <w:fldChar w:fldCharType="end"/>
                    </w:r>
                    <w:r>
                      <w:rPr>
                        <w:rFonts w:hint="eastAsia"/>
                        <w:sz w:val="1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D2B27A">
    <w:pPr>
      <w:rPr>
        <w:rFonts w:hint="eastAsia"/>
      </w:rPr>
    </w:pPr>
  </w:p>
  <w:p w14:paraId="258FED57">
    <w:pPr>
      <w:pStyle w:val="2"/>
      <w:rPr>
        <w:rFonts w:hint="eastAsia"/>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7AC0976"/>
    <w:multiLevelType w:val="singleLevel"/>
    <w:tmpl w:val="D7AC0976"/>
    <w:lvl w:ilvl="0" w:tentative="0">
      <w:start w:val="1"/>
      <w:numFmt w:val="chineseCounting"/>
      <w:suff w:val="nothing"/>
      <w:lvlText w:val="%1、"/>
      <w:lvlJc w:val="left"/>
      <w:rPr>
        <w:rFonts w:hint="eastAsia"/>
      </w:rPr>
    </w:lvl>
  </w:abstractNum>
  <w:abstractNum w:abstractNumId="1">
    <w:nsid w:val="1430BB50"/>
    <w:multiLevelType w:val="singleLevel"/>
    <w:tmpl w:val="1430BB50"/>
    <w:lvl w:ilvl="0" w:tentative="0">
      <w:start w:val="1"/>
      <w:numFmt w:val="decimal"/>
      <w:suff w:val="nothing"/>
      <w:lvlText w:val="%1、"/>
      <w:lvlJc w:val="left"/>
    </w:lvl>
  </w:abstractNum>
  <w:abstractNum w:abstractNumId="2">
    <w:nsid w:val="28BE286C"/>
    <w:multiLevelType w:val="singleLevel"/>
    <w:tmpl w:val="28BE286C"/>
    <w:lvl w:ilvl="0" w:tentative="0">
      <w:start w:val="2"/>
      <w:numFmt w:val="chineseCounting"/>
      <w:suff w:val="nothing"/>
      <w:lvlText w:val="%1、"/>
      <w:lvlJc w:val="left"/>
      <w:rPr>
        <w:rFonts w:hint="eastAsia"/>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I4ZGNkZTBiNjMzYTY2OTdmZjcwNzZmMjBjZWIwNGUifQ=="/>
  </w:docVars>
  <w:rsids>
    <w:rsidRoot w:val="2D4E2FF5"/>
    <w:rsid w:val="1E242A51"/>
    <w:rsid w:val="257E1B4E"/>
    <w:rsid w:val="2D4E2FF5"/>
    <w:rsid w:val="5FF671E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uiPriority w:val="99"/>
    <w:pPr>
      <w:tabs>
        <w:tab w:val="left" w:pos="0"/>
        <w:tab w:val="left" w:pos="993"/>
        <w:tab w:val="left" w:pos="1134"/>
      </w:tabs>
      <w:ind w:leftChars="200" w:firstLine="420"/>
    </w:pPr>
    <w:rPr>
      <w:szCs w:val="24"/>
    </w:rPr>
  </w:style>
  <w:style w:type="paragraph" w:styleId="3">
    <w:name w:val="Body Text Indent"/>
    <w:basedOn w:val="1"/>
    <w:next w:val="4"/>
    <w:uiPriority w:val="99"/>
    <w:pPr>
      <w:spacing w:after="120" w:afterLines="0"/>
      <w:ind w:left="420" w:leftChars="200"/>
    </w:pPr>
  </w:style>
  <w:style w:type="paragraph" w:styleId="4">
    <w:name w:val="envelope return"/>
    <w:basedOn w:val="1"/>
    <w:qFormat/>
    <w:uiPriority w:val="0"/>
    <w:pPr>
      <w:snapToGrid w:val="0"/>
    </w:pPr>
    <w:rPr>
      <w:rFonts w:ascii="Arial" w:hAnsi="Arial" w:cs="Arial"/>
    </w:rPr>
  </w:style>
  <w:style w:type="paragraph" w:styleId="5">
    <w:name w:val="footer"/>
    <w:basedOn w:val="1"/>
    <w:autoRedefine/>
    <w:qFormat/>
    <w:uiPriority w:val="99"/>
    <w:pPr>
      <w:tabs>
        <w:tab w:val="center" w:pos="4153"/>
        <w:tab w:val="right" w:pos="8306"/>
      </w:tabs>
      <w:snapToGrid w:val="0"/>
      <w:jc w:val="left"/>
    </w:pPr>
    <w:rPr>
      <w:sz w:val="18"/>
      <w:szCs w:val="18"/>
    </w:rPr>
  </w:style>
  <w:style w:type="character" w:styleId="8">
    <w:name w:val="page number"/>
    <w:basedOn w:val="7"/>
    <w:qFormat/>
    <w:uiPriority w:val="99"/>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949</Words>
  <Characters>1040</Characters>
  <Lines>0</Lines>
  <Paragraphs>0</Paragraphs>
  <TotalTime>86</TotalTime>
  <ScaleCrop>false</ScaleCrop>
  <LinksUpToDate>false</LinksUpToDate>
  <CharactersWithSpaces>1063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2024-03-27T07:03:00Z</dcterms:created>
  <dc:creator>houyz</dc:creator>
  <cp:lastModifiedBy>houyz</cp:lastModifiedBy>
  <dcterms:modified xsi:type="dcterms:W3CDTF">2025-06-05T07:35:12Z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50A06A4DDA404081A1F42EB13CEA418A_11</vt:lpwstr>
  </property>
  <property fmtid="{D5CDD505-2E9C-101B-9397-08002B2CF9AE}" pid="4" name="KSOTemplateDocerSaveRecord">
    <vt:lpwstr>eyJoZGlkIjoiOGI4ZGNkZTBiNjMzYTY2OTdmZjcwNzZmMjBjZWIwNGUiLCJ1c2VySWQiOiIyODYxNDcyMjAifQ==</vt:lpwstr>
  </property>
</Properties>
</file>