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65BAD7">
      <w:pPr>
        <w:spacing w:before="120" w:beforeLines="50" w:after="120" w:afterLines="50"/>
        <w:jc w:val="center"/>
        <w:rPr>
          <w:rFonts w:hint="eastAsia" w:eastAsia="黑体"/>
          <w:sz w:val="44"/>
          <w:szCs w:val="22"/>
          <w:lang w:val="en-US" w:eastAsia="zh-CN"/>
        </w:rPr>
      </w:pPr>
      <w:r>
        <w:rPr>
          <w:rFonts w:hint="eastAsia" w:eastAsia="黑体"/>
          <w:sz w:val="44"/>
          <w:szCs w:val="22"/>
          <w:lang w:val="en-US" w:eastAsia="zh-CN"/>
        </w:rPr>
        <w:t>2023年不含铜废镁砖</w:t>
      </w:r>
      <w:r>
        <w:rPr>
          <w:rFonts w:hint="eastAsia" w:eastAsia="黑体"/>
          <w:sz w:val="44"/>
          <w:szCs w:val="22"/>
          <w:lang w:eastAsia="zh-CN"/>
        </w:rPr>
        <w:t>销售</w:t>
      </w:r>
      <w:r>
        <w:rPr>
          <w:rFonts w:hint="eastAsia" w:eastAsia="黑体"/>
          <w:sz w:val="44"/>
          <w:szCs w:val="22"/>
          <w:lang w:val="en-US" w:eastAsia="zh-CN"/>
        </w:rPr>
        <w:t>竞价公告</w:t>
      </w:r>
    </w:p>
    <w:p w14:paraId="5E401216">
      <w:pPr>
        <w:spacing w:line="360" w:lineRule="auto"/>
        <w:ind w:firstLine="360" w:firstLineChars="150"/>
        <w:rPr>
          <w:rFonts w:hint="default" w:ascii="宋体" w:hAnsi="宋体" w:eastAsia="宋体"/>
          <w:sz w:val="24"/>
          <w:lang w:val="en-US" w:eastAsia="zh-CN"/>
        </w:rPr>
      </w:pPr>
      <w:r>
        <w:rPr>
          <w:rFonts w:hint="eastAsia" w:ascii="宋体" w:hAnsi="宋体"/>
          <w:sz w:val="24"/>
        </w:rPr>
        <w:t>工程项目编号：</w:t>
      </w:r>
      <w:r>
        <w:rPr>
          <w:rFonts w:ascii="宋体" w:hAnsi="宋体"/>
          <w:sz w:val="24"/>
        </w:rPr>
        <w:t>LHTY-</w:t>
      </w:r>
      <w:r>
        <w:rPr>
          <w:rFonts w:hint="eastAsia" w:ascii="宋体" w:hAnsi="宋体"/>
          <w:sz w:val="24"/>
        </w:rPr>
        <w:t>2023</w:t>
      </w:r>
      <w:r>
        <w:rPr>
          <w:rFonts w:hint="eastAsia" w:ascii="宋体" w:hAnsi="宋体"/>
          <w:sz w:val="24"/>
          <w:lang w:val="en-US" w:eastAsia="zh-CN"/>
        </w:rPr>
        <w:t>1207-001</w:t>
      </w:r>
    </w:p>
    <w:p w14:paraId="6FB23CB4">
      <w:pPr>
        <w:spacing w:line="360" w:lineRule="auto"/>
        <w:ind w:firstLine="360" w:firstLineChars="150"/>
        <w:rPr>
          <w:rFonts w:ascii="宋体" w:hAnsi="宋体"/>
          <w:sz w:val="24"/>
        </w:rPr>
      </w:pPr>
      <w:r>
        <w:rPr>
          <w:rFonts w:hint="eastAsia" w:ascii="宋体" w:hAnsi="宋体"/>
          <w:sz w:val="24"/>
        </w:rPr>
        <w:t>发　布日　期：2023年</w:t>
      </w:r>
      <w:r>
        <w:rPr>
          <w:rFonts w:hint="eastAsia" w:ascii="宋体" w:hAnsi="宋体"/>
          <w:sz w:val="24"/>
          <w:lang w:val="en-US" w:eastAsia="zh-CN"/>
        </w:rPr>
        <w:t>12</w:t>
      </w:r>
      <w:r>
        <w:rPr>
          <w:rFonts w:hint="eastAsia" w:ascii="宋体" w:hAnsi="宋体"/>
          <w:sz w:val="24"/>
        </w:rPr>
        <w:t>月</w:t>
      </w:r>
      <w:r>
        <w:rPr>
          <w:rFonts w:hint="eastAsia" w:ascii="宋体" w:hAnsi="宋体"/>
          <w:sz w:val="24"/>
          <w:lang w:val="en-US" w:eastAsia="zh-CN"/>
        </w:rPr>
        <w:t>7</w:t>
      </w:r>
      <w:r>
        <w:rPr>
          <w:rFonts w:hint="eastAsia" w:ascii="宋体" w:hAnsi="宋体"/>
          <w:sz w:val="24"/>
        </w:rPr>
        <w:t>日</w:t>
      </w:r>
    </w:p>
    <w:p w14:paraId="0BD267B1">
      <w:pPr>
        <w:pStyle w:val="7"/>
        <w:rPr>
          <w:rFonts w:hint="default"/>
          <w:lang w:val="en-US" w:eastAsia="zh-CN"/>
        </w:rPr>
      </w:pPr>
    </w:p>
    <w:p w14:paraId="19DF3532">
      <w:pPr>
        <w:bidi w:val="0"/>
        <w:rPr>
          <w:rFonts w:hint="eastAsia" w:ascii="汉仪书宋二简" w:hAnsi="汉仪书宋二简" w:eastAsia="汉仪书宋二简" w:cs="汉仪书宋二简"/>
          <w:sz w:val="32"/>
          <w:szCs w:val="40"/>
        </w:rPr>
      </w:pPr>
      <w:r>
        <w:rPr>
          <w:rFonts w:hint="eastAsia" w:ascii="汉仪书宋二简" w:hAnsi="汉仪书宋二简" w:eastAsia="汉仪书宋二简" w:cs="汉仪书宋二简"/>
          <w:b/>
          <w:bCs/>
          <w:sz w:val="28"/>
          <w:szCs w:val="36"/>
        </w:rPr>
        <w:t>一、标的物名称、对应重量</w:t>
      </w:r>
      <w:r>
        <w:rPr>
          <w:rFonts w:hint="eastAsia" w:ascii="汉仪书宋二简" w:hAnsi="汉仪书宋二简" w:eastAsia="汉仪书宋二简" w:cs="汉仪书宋二简"/>
          <w:b/>
          <w:bCs/>
          <w:sz w:val="28"/>
          <w:szCs w:val="36"/>
          <w:lang w:eastAsia="zh-CN"/>
        </w:rPr>
        <w:t>、</w:t>
      </w:r>
      <w:r>
        <w:rPr>
          <w:rFonts w:hint="eastAsia" w:ascii="汉仪书宋二简" w:hAnsi="汉仪书宋二简" w:eastAsia="汉仪书宋二简" w:cs="汉仪书宋二简"/>
          <w:b/>
          <w:bCs/>
          <w:sz w:val="28"/>
          <w:szCs w:val="36"/>
          <w:lang w:val="en-US" w:eastAsia="zh-CN"/>
        </w:rPr>
        <w:t>包装形式</w:t>
      </w:r>
      <w:r>
        <w:rPr>
          <w:rFonts w:hint="eastAsia" w:ascii="汉仪书宋二简" w:hAnsi="汉仪书宋二简" w:eastAsia="汉仪书宋二简" w:cs="汉仪书宋二简"/>
          <w:b/>
          <w:bCs/>
          <w:sz w:val="28"/>
          <w:szCs w:val="36"/>
        </w:rPr>
        <w:t>：</w:t>
      </w:r>
    </w:p>
    <w:tbl>
      <w:tblPr>
        <w:tblStyle w:val="8"/>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2041"/>
        <w:gridCol w:w="1530"/>
        <w:gridCol w:w="3145"/>
        <w:gridCol w:w="2562"/>
      </w:tblGrid>
      <w:tr w14:paraId="34C66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459" w:hRule="exact"/>
          <w:jc w:val="center"/>
        </w:trPr>
        <w:tc>
          <w:tcPr>
            <w:tcW w:w="2041" w:type="dxa"/>
            <w:shd w:val="clear" w:color="auto" w:fill="FFFFFF"/>
            <w:noWrap w:val="0"/>
            <w:vAlign w:val="center"/>
          </w:tcPr>
          <w:p w14:paraId="22D67601">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标的物</w:t>
            </w:r>
          </w:p>
        </w:tc>
        <w:tc>
          <w:tcPr>
            <w:tcW w:w="1530" w:type="dxa"/>
            <w:shd w:val="clear" w:color="auto" w:fill="FFFFFF"/>
            <w:noWrap w:val="0"/>
            <w:vAlign w:val="center"/>
          </w:tcPr>
          <w:p w14:paraId="4127869C">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数量（吨）</w:t>
            </w:r>
          </w:p>
        </w:tc>
        <w:tc>
          <w:tcPr>
            <w:tcW w:w="3145" w:type="dxa"/>
            <w:shd w:val="clear" w:color="auto" w:fill="FFFFFF"/>
            <w:noWrap w:val="0"/>
            <w:vAlign w:val="center"/>
          </w:tcPr>
          <w:p w14:paraId="2641AB68">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成分</w:t>
            </w:r>
          </w:p>
        </w:tc>
        <w:tc>
          <w:tcPr>
            <w:tcW w:w="2562" w:type="dxa"/>
            <w:shd w:val="clear" w:color="auto" w:fill="FFFFFF"/>
            <w:noWrap w:val="0"/>
            <w:vAlign w:val="center"/>
          </w:tcPr>
          <w:p w14:paraId="5D33B861">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物理规格及包装</w:t>
            </w:r>
          </w:p>
        </w:tc>
      </w:tr>
      <w:tr w14:paraId="44548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514" w:hRule="exact"/>
          <w:jc w:val="center"/>
        </w:trPr>
        <w:tc>
          <w:tcPr>
            <w:tcW w:w="2041" w:type="dxa"/>
            <w:shd w:val="clear" w:color="auto" w:fill="FFFFFF"/>
            <w:noWrap w:val="0"/>
            <w:vAlign w:val="center"/>
          </w:tcPr>
          <w:p w14:paraId="7698E0A0">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2"/>
                <w:szCs w:val="28"/>
                <w:lang w:val="en-US" w:eastAsia="zh-CN"/>
              </w:rPr>
              <w:t>不含铜废镁砖</w:t>
            </w:r>
          </w:p>
        </w:tc>
        <w:tc>
          <w:tcPr>
            <w:tcW w:w="1530" w:type="dxa"/>
            <w:shd w:val="clear" w:color="auto" w:fill="FFFFFF"/>
            <w:noWrap w:val="0"/>
            <w:vAlign w:val="center"/>
          </w:tcPr>
          <w:p w14:paraId="037F762B">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300</w:t>
            </w:r>
          </w:p>
        </w:tc>
        <w:tc>
          <w:tcPr>
            <w:tcW w:w="3145" w:type="dxa"/>
            <w:shd w:val="clear" w:color="auto" w:fill="FFFFFF"/>
            <w:noWrap w:val="0"/>
            <w:vAlign w:val="center"/>
          </w:tcPr>
          <w:p w14:paraId="274AC5B9">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投标方自行取样测算</w:t>
            </w:r>
          </w:p>
        </w:tc>
        <w:tc>
          <w:tcPr>
            <w:tcW w:w="2562" w:type="dxa"/>
            <w:shd w:val="clear" w:color="auto" w:fill="FFFFFF"/>
            <w:noWrap w:val="0"/>
            <w:vAlign w:val="center"/>
          </w:tcPr>
          <w:p w14:paraId="7AF31067">
            <w:pPr>
              <w:bidi w:val="0"/>
              <w:jc w:val="center"/>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散装</w:t>
            </w:r>
          </w:p>
        </w:tc>
      </w:tr>
    </w:tbl>
    <w:p w14:paraId="2CEB9817">
      <w:pPr>
        <w:bidi w:val="0"/>
        <w:jc w:val="left"/>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备注：1、标的物招标数量为暂估量，非实际发货量，发货及结算量按实际发货总量为准；</w:t>
      </w:r>
    </w:p>
    <w:p w14:paraId="3A055F56">
      <w:pPr>
        <w:bidi w:val="0"/>
        <w:ind w:firstLine="720" w:firstLineChars="300"/>
        <w:jc w:val="left"/>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2、张家港联合铜业有限公司在招标期间至装货完成期间，有权对现场物料进行多次挑拣，中标方应对物料规格形态及数量变化无条件认可。</w:t>
      </w:r>
    </w:p>
    <w:p w14:paraId="299B7F15">
      <w:pPr>
        <w:bidi w:val="0"/>
        <w:rPr>
          <w:rFonts w:hint="eastAsia"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二、投标人其他资质要求</w:t>
      </w:r>
    </w:p>
    <w:p w14:paraId="69C8AFBC">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1、投标人须为江苏省内注册的一般纳税人企业；</w:t>
      </w:r>
    </w:p>
    <w:p w14:paraId="3130C6F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2、投标人提供企业所在地生态环境厅/局关于耐火材料利用的《建设项目环境影响报告表》及相关环评环保证明材料；</w:t>
      </w:r>
    </w:p>
    <w:p w14:paraId="31D04804">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3、投标人应提供废旧耐火材料利用的相关生产工艺全流程图（加盖企业公章）；</w:t>
      </w:r>
    </w:p>
    <w:p w14:paraId="72A3507B">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4、投标人应提供企业有效的营业执照（加盖企业公章）</w:t>
      </w:r>
    </w:p>
    <w:p w14:paraId="6DDADCD9">
      <w:pPr>
        <w:bidi w:val="0"/>
        <w:rPr>
          <w:rFonts w:hint="eastAsia"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三、报价方法</w:t>
      </w:r>
    </w:p>
    <w:p w14:paraId="6090673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投标方对标的物按X元/吨报价；</w:t>
      </w:r>
    </w:p>
    <w:p w14:paraId="02AB9C92">
      <w:pPr>
        <w:bidi w:val="0"/>
        <w:rPr>
          <w:rFonts w:hint="eastAsia"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四、提货地点</w:t>
      </w:r>
    </w:p>
    <w:p w14:paraId="72F7295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张家港联合铜业有限公司指定的一般固体废物贮存仓库。</w:t>
      </w:r>
    </w:p>
    <w:p w14:paraId="6111D7C7">
      <w:pPr>
        <w:bidi w:val="0"/>
        <w:rPr>
          <w:rFonts w:hint="eastAsia"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五、提货要求</w:t>
      </w:r>
    </w:p>
    <w:p w14:paraId="6CDA79E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1、转移准备：中标方与张家港联合铜业有限公司在签订正式合同后，应及时将公司基本资料、接收计划、固体废物转移资料（与张家港联合铜业有限公司安全环保部对接）、承运公司资质资料等盖章交于张家港联合铜业有限公司，张家港联合铜业有限公司收到资料后立即展开转移申报工作。</w:t>
      </w:r>
    </w:p>
    <w:p w14:paraId="21116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2、提货准备：环保转移审批程序完成后，中标方按张家港联合铜业有限公司通知执行发货程序，中标方应在双方合同签订后7日内完成全部提货（逾期执行。张家港联合铜业有限公司将有权没收中标方履约保证金）；</w:t>
      </w:r>
    </w:p>
    <w:p w14:paraId="5D3E8225">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3、运输要求：中标方负责委托第三方有资质的运输单位运输，其工作人员未经张家港联合铜业有限公司批准不得进入张家港联合铜业有限公司非标的物存放的区域且应当遵守卖方有关环保、安全、卫生、5S管理等规章制度，不影响卖方的正常生产经营秩序，进厂运输危废物时，需要主动下车登记后方可进入，且车速不超过5公里/小时。标的物出厂前，双方应确认种类与数量并由张家港联合铜业有限公司安全环保部开具相应转移联单，以便跟踪管理，中标方凭张家港联合铜业有限公司的出门证出门，标的物到达中标方接收厂区后应及时按规范的安全环保手续进行入库并保留运输车辆入厂、卸货、出厂相关的电子影响信息供张家港联合铜业有限公司备查（标的物转运到达中标企业现场当日，应对入厂车辆（含货）环车拍照4张照片/车、卸车拍照2张/车照片提交给张家港联合铜业有限公司）。</w:t>
      </w:r>
    </w:p>
    <w:p w14:paraId="24379CAD">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4、环保责任：在标的物出厂前发生任何环境污染问题或事故由张家港联合铜业有限公司承担全部责任，在标的物出厂后，中标方对其所可能引起的任何环境污染问题或事故承担全部责任。因操作不当而造成整个处理过程中某个环节的任何泄漏与污染，均由中标方负责协调解决，若由此造成供 方损失（包括但不限于因此受政府部门罚款等）的，中标方应负责赔偿。</w:t>
      </w:r>
    </w:p>
    <w:p w14:paraId="3E47806D">
      <w:pPr>
        <w:bidi w:val="0"/>
        <w:rPr>
          <w:rFonts w:hint="eastAsia"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六、质检验收</w:t>
      </w:r>
    </w:p>
    <w:p w14:paraId="29C03162">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计量以张家港联合铜业有限公司地磅过磅为准，结算重量为磅单实际净重量，作为双方结算的依据。买卖双方代表均在场监督，如中标方未派代表参加，则视为同意卖方的操作。</w:t>
      </w:r>
    </w:p>
    <w:p w14:paraId="72DA42E5">
      <w:pPr>
        <w:bidi w:val="0"/>
        <w:rPr>
          <w:rFonts w:hint="eastAsia"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七、履约保证金</w:t>
      </w:r>
    </w:p>
    <w:p w14:paraId="5814D463">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双方合同签订后三日内中标方须向张家港联合铜业有限公司缴纳人民币伍万元(¥50,000.00）作为履约保证金。</w:t>
      </w:r>
    </w:p>
    <w:p w14:paraId="5137A90A">
      <w:pPr>
        <w:bidi w:val="0"/>
        <w:rPr>
          <w:rFonts w:hint="eastAsia"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八、违约责任</w:t>
      </w:r>
    </w:p>
    <w:p w14:paraId="39DE44F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1、在张家港联合铜业有限公司厂区内，若因张家港联合铜业有限公司的过失，造成中标方财产受损或中标方人员伤害时，张家港联合铜业有限公司应负全部责任。若因中标方的过失，造成张家港联合铜业有限公司财产受损或张家港联合铜业有限公司人员伤害时，中标方应负全部责任。</w:t>
      </w:r>
    </w:p>
    <w:p w14:paraId="06817F0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2、中标方或中标方的工作人员给张家港联合铜业有限公司或张家港联合铜业有限公司的雇员或其他任何第三方造成人身损害或财产损失的，中标方应负责赔偿，张家港联合铜业有限公司有权从中标方已支付的款项中直接扣除相应赔偿金。</w:t>
      </w:r>
    </w:p>
    <w:p w14:paraId="0F526FE0">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3、中标方保证废弃物因操作不当而造成整个处理过程中某个环节的任何泄漏与污染，均由中标方负责协调解决，若由此造成张家港联合铜业有限公司损失（包括但不限于因此受政府部门罚款等）的，中标方应负责赔偿。</w:t>
      </w:r>
    </w:p>
    <w:p w14:paraId="0B3110A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4、中标方未按时支付履约保证金的视为违约，张家港联合铜业有限公司有权终止合同执行并保留追诉权。</w:t>
      </w:r>
    </w:p>
    <w:p w14:paraId="5BC93A3E">
      <w:pPr>
        <w:bidi w:val="0"/>
        <w:rPr>
          <w:rFonts w:hint="default" w:ascii="汉仪书宋二简" w:hAnsi="汉仪书宋二简" w:eastAsia="汉仪书宋二简" w:cs="汉仪书宋二简"/>
          <w:b/>
          <w:bCs/>
          <w:sz w:val="28"/>
          <w:szCs w:val="36"/>
          <w:lang w:val="en-US" w:eastAsia="zh-CN"/>
        </w:rPr>
      </w:pPr>
      <w:r>
        <w:rPr>
          <w:rFonts w:hint="eastAsia" w:ascii="汉仪书宋二简" w:hAnsi="汉仪书宋二简" w:eastAsia="汉仪书宋二简" w:cs="汉仪书宋二简"/>
          <w:b/>
          <w:bCs/>
          <w:sz w:val="28"/>
          <w:szCs w:val="36"/>
          <w:lang w:val="en-US" w:eastAsia="zh-CN"/>
        </w:rPr>
        <w:t>九、评标办法</w:t>
      </w:r>
    </w:p>
    <w:p w14:paraId="2EEAC0F9">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汉仪书宋二简" w:hAnsi="汉仪书宋二简" w:eastAsia="汉仪书宋二简" w:cs="汉仪书宋二简"/>
          <w:sz w:val="24"/>
          <w:szCs w:val="32"/>
          <w:lang w:val="en-US" w:eastAsia="zh-CN"/>
        </w:rPr>
      </w:pPr>
      <w:r>
        <w:rPr>
          <w:rFonts w:hint="eastAsia" w:ascii="汉仪书宋二简" w:hAnsi="汉仪书宋二简" w:eastAsia="汉仪书宋二简" w:cs="汉仪书宋二简"/>
          <w:sz w:val="24"/>
          <w:szCs w:val="32"/>
          <w:lang w:val="en-US" w:eastAsia="zh-CN"/>
        </w:rPr>
        <w:t>本次招标项目，报价总价最高者得；</w:t>
      </w:r>
    </w:p>
    <w:p w14:paraId="301CD051">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sz w:val="24"/>
          <w:szCs w:val="24"/>
          <w:lang w:eastAsia="zh-CN"/>
        </w:rPr>
        <w:t>合同签约前提供给</w:t>
      </w:r>
      <w:r>
        <w:rPr>
          <w:rFonts w:hint="eastAsia" w:ascii="宋体" w:hAnsi="宋体" w:eastAsia="宋体" w:cs="宋体"/>
          <w:sz w:val="24"/>
          <w:szCs w:val="24"/>
          <w:highlight w:val="none"/>
          <w:lang w:val="en-US" w:eastAsia="zh-CN"/>
        </w:rPr>
        <w:t>联合铜业</w:t>
      </w:r>
      <w:r>
        <w:rPr>
          <w:rFonts w:hint="eastAsia" w:ascii="宋体" w:hAnsi="宋体" w:eastAsia="宋体" w:cs="宋体"/>
          <w:sz w:val="24"/>
          <w:szCs w:val="24"/>
          <w:lang w:eastAsia="zh-CN"/>
        </w:rPr>
        <w:t>，其</w:t>
      </w:r>
      <w:r>
        <w:rPr>
          <w:rFonts w:hint="eastAsia" w:ascii="宋体" w:hAnsi="宋体" w:eastAsia="宋体" w:cs="宋体"/>
          <w:sz w:val="24"/>
          <w:szCs w:val="24"/>
        </w:rPr>
        <w:t>综合性质由</w:t>
      </w:r>
      <w:r>
        <w:rPr>
          <w:rFonts w:hint="eastAsia" w:ascii="宋体" w:hAnsi="宋体" w:eastAsia="宋体" w:cs="宋体"/>
          <w:sz w:val="24"/>
          <w:szCs w:val="24"/>
          <w:highlight w:val="none"/>
          <w:lang w:val="en-US" w:eastAsia="zh-CN"/>
        </w:rPr>
        <w:t>联合铜业</w:t>
      </w:r>
      <w:r>
        <w:rPr>
          <w:rFonts w:hint="eastAsia" w:ascii="宋体" w:hAnsi="宋体" w:eastAsia="宋体" w:cs="宋体"/>
          <w:sz w:val="24"/>
          <w:szCs w:val="24"/>
        </w:rPr>
        <w:t>整体评价后确认其合规性，无担保</w:t>
      </w:r>
      <w:r>
        <w:rPr>
          <w:rFonts w:hint="eastAsia" w:ascii="宋体" w:hAnsi="宋体" w:cs="宋体"/>
          <w:sz w:val="24"/>
          <w:szCs w:val="24"/>
          <w:lang w:val="en-US" w:eastAsia="zh-CN"/>
        </w:rPr>
        <w:t>或担保方未通过审核</w:t>
      </w:r>
      <w:r>
        <w:rPr>
          <w:rFonts w:hint="eastAsia" w:ascii="宋体" w:hAnsi="宋体" w:eastAsia="宋体" w:cs="宋体"/>
          <w:sz w:val="24"/>
          <w:szCs w:val="24"/>
        </w:rPr>
        <w:t>的</w:t>
      </w:r>
      <w:r>
        <w:rPr>
          <w:rFonts w:hint="eastAsia" w:ascii="宋体" w:hAnsi="宋体" w:eastAsia="宋体" w:cs="宋体"/>
          <w:sz w:val="24"/>
          <w:szCs w:val="24"/>
          <w:lang w:eastAsia="zh-CN"/>
        </w:rPr>
        <w:t>中标方视为放弃中标资格及合同签约权</w:t>
      </w:r>
      <w:r>
        <w:rPr>
          <w:rFonts w:hint="eastAsia" w:ascii="宋体" w:hAnsi="宋体" w:eastAsia="宋体" w:cs="宋体"/>
          <w:sz w:val="24"/>
          <w:szCs w:val="24"/>
        </w:rPr>
        <w:t>。</w:t>
      </w:r>
    </w:p>
    <w:p w14:paraId="5C4D2A94">
      <w:pPr>
        <w:shd w:val="clear" w:color="auto" w:fill="FFFFFF"/>
        <w:spacing w:line="360" w:lineRule="auto"/>
        <w:jc w:val="left"/>
        <w:rPr>
          <w:rFonts w:hint="eastAsia" w:ascii="宋体" w:hAnsi="宋体"/>
          <w:b/>
          <w:bCs/>
          <w:color w:val="000000"/>
          <w:sz w:val="28"/>
          <w:szCs w:val="28"/>
        </w:rPr>
      </w:pPr>
      <w:r>
        <w:rPr>
          <w:rFonts w:hint="eastAsia" w:ascii="宋体" w:hAnsi="宋体"/>
          <w:b/>
          <w:bCs/>
          <w:color w:val="000000"/>
          <w:sz w:val="28"/>
          <w:szCs w:val="28"/>
          <w:lang w:val="en-US" w:eastAsia="zh-CN"/>
        </w:rPr>
        <w:t>十</w:t>
      </w:r>
      <w:r>
        <w:rPr>
          <w:rFonts w:hint="eastAsia" w:ascii="宋体" w:hAnsi="宋体"/>
          <w:b/>
          <w:bCs/>
          <w:color w:val="000000"/>
          <w:sz w:val="28"/>
          <w:szCs w:val="28"/>
        </w:rPr>
        <w:t>、报价文件接收单位及相关联系人：</w:t>
      </w:r>
    </w:p>
    <w:p w14:paraId="37C77C65">
      <w:pPr>
        <w:spacing w:line="360" w:lineRule="auto"/>
        <w:ind w:firstLine="360" w:firstLineChars="150"/>
        <w:rPr>
          <w:rFonts w:hint="eastAsia" w:ascii="宋体" w:hAnsi="宋体"/>
          <w:sz w:val="24"/>
        </w:rPr>
      </w:pPr>
      <w:r>
        <w:rPr>
          <w:rFonts w:hint="eastAsia" w:ascii="宋体" w:hAnsi="宋体"/>
          <w:sz w:val="24"/>
        </w:rPr>
        <w:t xml:space="preserve">  文件提交地址：张家港市锦丰镇三兴街道2202号，张家港联合铜业有限公司质量计量部（企管部）招标办；邮编：215624 </w:t>
      </w:r>
    </w:p>
    <w:p w14:paraId="07A5D2F3">
      <w:pPr>
        <w:spacing w:line="360" w:lineRule="auto"/>
        <w:ind w:firstLine="360" w:firstLineChars="150"/>
        <w:rPr>
          <w:rFonts w:hint="default" w:ascii="宋体" w:hAnsi="宋体" w:eastAsia="宋体"/>
          <w:sz w:val="24"/>
          <w:lang w:val="en-US" w:eastAsia="zh-CN"/>
        </w:rPr>
      </w:pPr>
      <w:r>
        <w:rPr>
          <w:rFonts w:hint="eastAsia" w:ascii="宋体" w:hAnsi="宋体"/>
          <w:sz w:val="24"/>
          <w:lang w:val="en-US" w:eastAsia="zh-CN"/>
        </w:rPr>
        <w:t>投标截止日期：2023年12月14日</w:t>
      </w:r>
    </w:p>
    <w:p w14:paraId="3910A071">
      <w:pPr>
        <w:spacing w:line="360" w:lineRule="auto"/>
        <w:ind w:firstLine="360" w:firstLineChars="150"/>
        <w:rPr>
          <w:rFonts w:ascii="宋体" w:hAnsi="宋体"/>
          <w:sz w:val="24"/>
        </w:rPr>
      </w:pPr>
      <w:r>
        <w:rPr>
          <w:rFonts w:hint="eastAsia" w:ascii="宋体" w:hAnsi="宋体"/>
          <w:sz w:val="24"/>
        </w:rPr>
        <w:t>接收时间：投标截止日期前每天</w:t>
      </w:r>
      <w:bookmarkStart w:id="0" w:name="_GoBack"/>
      <w:bookmarkEnd w:id="0"/>
      <w:r>
        <w:rPr>
          <w:rFonts w:hint="eastAsia" w:ascii="宋体" w:hAnsi="宋体"/>
          <w:sz w:val="24"/>
        </w:rPr>
        <w:t>8：00至11：30，13：30至16：30，节假日除外。</w:t>
      </w:r>
    </w:p>
    <w:p w14:paraId="5881F4B0">
      <w:pPr>
        <w:spacing w:line="360" w:lineRule="auto"/>
        <w:ind w:firstLine="360" w:firstLineChars="150"/>
        <w:rPr>
          <w:rFonts w:ascii="宋体" w:hAnsi="宋体"/>
          <w:sz w:val="24"/>
        </w:rPr>
      </w:pPr>
      <w:r>
        <w:rPr>
          <w:rFonts w:hint="eastAsia" w:ascii="宋体" w:hAnsi="宋体"/>
          <w:sz w:val="24"/>
        </w:rPr>
        <w:t>投标联系人：侯燕州（0512-58533020）</w:t>
      </w:r>
    </w:p>
    <w:p w14:paraId="21BA17F5">
      <w:pPr>
        <w:spacing w:line="360" w:lineRule="auto"/>
        <w:ind w:firstLine="360" w:firstLineChars="150"/>
        <w:rPr>
          <w:rFonts w:hint="default"/>
          <w:lang w:val="en-US"/>
        </w:rPr>
      </w:pPr>
      <w:r>
        <w:rPr>
          <w:rFonts w:hint="eastAsia" w:ascii="宋体" w:hAnsi="宋体"/>
          <w:sz w:val="24"/>
        </w:rPr>
        <w:t>业务咨询联</w:t>
      </w:r>
      <w:r>
        <w:rPr>
          <w:rFonts w:hint="eastAsia" w:ascii="宋体" w:hAnsi="宋体"/>
          <w:sz w:val="24"/>
          <w:lang w:eastAsia="zh-CN"/>
        </w:rPr>
        <w:t>：</w:t>
      </w:r>
      <w:r>
        <w:rPr>
          <w:rFonts w:hint="eastAsia" w:ascii="宋体" w:hAnsi="宋体"/>
          <w:sz w:val="24"/>
          <w:lang w:val="en-US" w:eastAsia="zh-CN"/>
        </w:rPr>
        <w:t>商务部 王凯</w:t>
      </w:r>
      <w:r>
        <w:rPr>
          <w:rFonts w:hint="eastAsia" w:ascii="宋体" w:hAnsi="宋体"/>
          <w:sz w:val="24"/>
        </w:rPr>
        <w:t>（0512-585</w:t>
      </w:r>
      <w:r>
        <w:rPr>
          <w:rFonts w:hint="eastAsia" w:ascii="宋体" w:hAnsi="宋体"/>
          <w:sz w:val="24"/>
          <w:lang w:val="en-US" w:eastAsia="zh-CN"/>
        </w:rPr>
        <w:t>38927）</w:t>
      </w:r>
    </w:p>
    <w:p w14:paraId="1E042778">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eastAsia="宋体"/>
          <w:b/>
          <w:bCs/>
          <w:color w:val="FF0000"/>
          <w:sz w:val="24"/>
          <w:szCs w:val="32"/>
          <w:lang w:eastAsia="zh-CN"/>
        </w:rPr>
      </w:pPr>
      <w:r>
        <w:rPr>
          <w:rFonts w:hint="eastAsia"/>
          <w:b/>
          <w:bCs/>
          <w:color w:val="FF0000"/>
          <w:sz w:val="24"/>
          <w:szCs w:val="32"/>
        </w:rPr>
        <w:t>（注：投标人报价可自行送达张家港联合铜业有限公司招标办；或通过中国邮政或顺丰快递寄送报价文件，快递包装外注明竞价项目名称。</w:t>
      </w:r>
      <w:r>
        <w:rPr>
          <w:rFonts w:hint="eastAsia"/>
          <w:b/>
          <w:bCs/>
          <w:color w:val="FF0000"/>
          <w:sz w:val="24"/>
          <w:szCs w:val="32"/>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书宋二简">
    <w:altName w:val="宋体"/>
    <w:panose1 w:val="02010600000101010101"/>
    <w:charset w:val="86"/>
    <w:family w:val="auto"/>
    <w:pitch w:val="default"/>
    <w:sig w:usb0="00000000" w:usb1="00000000" w:usb2="00000002"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ZGNkZTBiNjMzYTY2OTdmZjcwNzZmMjBjZWIwNGUifQ=="/>
  </w:docVars>
  <w:rsids>
    <w:rsidRoot w:val="47826632"/>
    <w:rsid w:val="0B2A1710"/>
    <w:rsid w:val="13C45F20"/>
    <w:rsid w:val="187F5A3C"/>
    <w:rsid w:val="1B6A204C"/>
    <w:rsid w:val="280B30EA"/>
    <w:rsid w:val="326261B7"/>
    <w:rsid w:val="32F17627"/>
    <w:rsid w:val="35262833"/>
    <w:rsid w:val="398732D5"/>
    <w:rsid w:val="3F5D1206"/>
    <w:rsid w:val="46AA7FA4"/>
    <w:rsid w:val="47087AFB"/>
    <w:rsid w:val="47826632"/>
    <w:rsid w:val="493D52C9"/>
    <w:rsid w:val="4F8F45FC"/>
    <w:rsid w:val="51A70A5D"/>
    <w:rsid w:val="53AE6D30"/>
    <w:rsid w:val="5E1839CC"/>
    <w:rsid w:val="612D42A4"/>
    <w:rsid w:val="686167BE"/>
    <w:rsid w:val="6980587A"/>
    <w:rsid w:val="6BD74ADB"/>
    <w:rsid w:val="75644098"/>
    <w:rsid w:val="7FD514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Body Text First Indent"/>
    <w:basedOn w:val="4"/>
    <w:next w:val="2"/>
    <w:qFormat/>
    <w:uiPriority w:val="0"/>
    <w:pPr>
      <w:ind w:firstLine="420" w:firstLineChars="1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1946</Words>
  <Characters>2026</Characters>
  <Lines>0</Lines>
  <Paragraphs>0</Paragraphs>
  <TotalTime>0</TotalTime>
  <ScaleCrop>false</ScaleCrop>
  <LinksUpToDate>false</LinksUpToDate>
  <CharactersWithSpaces>2033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2020-08-19T00:36:00Z</dcterms:created>
  <dc:creator>Sir668837</dc:creator>
  <cp:lastModifiedBy>houyz</cp:lastModifiedBy>
  <cp:lastPrinted>2022-05-26T06:15:00Z</cp:lastPrinted>
  <dcterms:modified xsi:type="dcterms:W3CDTF">2025-06-05T07:53:59Z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B79A9E0041434A9FA063C52EC7706167</vt:lpwstr>
  </property>
  <property fmtid="{D5CDD505-2E9C-101B-9397-08002B2CF9AE}" pid="4" name="KSOTemplateDocerSaveRecord">
    <vt:lpwstr>eyJoZGlkIjoiOGI4ZGNkZTBiNjMzYTY2OTdmZjcwNzZmMjBjZWIwNGUiLCJ1c2VySWQiOiIyODYxNDcyMjAifQ==</vt:lpwstr>
  </property>
</Properties>
</file>