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943BA8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beforeAutospacing="0" w:afterAutospacing="0" w:line="360" w:lineRule="auto"/>
        <w:jc w:val="center"/>
        <w:outlineLvl w:val="9"/>
        <w:rPr>
          <w:rFonts w:hint="eastAsia"/>
          <w:b/>
          <w:bCs/>
          <w:sz w:val="40"/>
          <w:szCs w:val="48"/>
          <w:lang w:val="en-US" w:eastAsia="zh-CN"/>
        </w:rPr>
      </w:pPr>
      <w:r>
        <w:rPr>
          <w:rFonts w:hint="eastAsia"/>
          <w:b/>
          <w:bCs/>
          <w:sz w:val="40"/>
          <w:szCs w:val="48"/>
          <w:lang w:val="en-US" w:eastAsia="zh-CN"/>
        </w:rPr>
        <w:t>汽车衡与平台秤年度维保竞价公告</w:t>
      </w:r>
    </w:p>
    <w:p w14:paraId="3F2E9915">
      <w:pPr>
        <w:spacing w:line="360" w:lineRule="auto"/>
        <w:rPr>
          <w:rFonts w:hint="default" w:ascii="宋体" w:hAnsi="宋体" w:eastAsia="宋体" w:cs="宋体"/>
          <w:b/>
          <w:bCs/>
          <w:sz w:val="28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36"/>
        </w:rPr>
        <w:t>一、项目编号：</w:t>
      </w:r>
      <w:r>
        <w:rPr>
          <w:rFonts w:hint="eastAsia" w:ascii="宋体" w:hAnsi="宋体" w:cs="宋体"/>
          <w:b/>
          <w:bCs/>
          <w:sz w:val="28"/>
          <w:szCs w:val="36"/>
          <w:lang w:val="en-US" w:eastAsia="zh-CN"/>
        </w:rPr>
        <w:t>L</w:t>
      </w: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HTY-202303</w:t>
      </w:r>
      <w:r>
        <w:rPr>
          <w:rFonts w:hint="eastAsia" w:ascii="宋体" w:hAnsi="宋体" w:cs="宋体"/>
          <w:b/>
          <w:bCs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30</w:t>
      </w: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-001</w:t>
      </w:r>
    </w:p>
    <w:p w14:paraId="7D96EAC2">
      <w:pPr>
        <w:numPr>
          <w:ilvl w:val="0"/>
          <w:numId w:val="1"/>
        </w:numPr>
        <w:spacing w:line="360" w:lineRule="auto"/>
        <w:rPr>
          <w:rFonts w:ascii="宋体" w:hAnsi="宋体" w:cs="宋体"/>
          <w:b/>
          <w:bCs/>
          <w:sz w:val="28"/>
          <w:szCs w:val="36"/>
        </w:rPr>
      </w:pPr>
      <w:r>
        <w:rPr>
          <w:rFonts w:hint="eastAsia" w:ascii="宋体" w:hAnsi="宋体" w:cs="宋体"/>
          <w:b/>
          <w:bCs/>
          <w:sz w:val="28"/>
          <w:szCs w:val="36"/>
        </w:rPr>
        <w:t>发布日期</w:t>
      </w:r>
      <w:r>
        <w:rPr>
          <w:rFonts w:hint="eastAsia" w:ascii="宋体" w:hAnsi="宋体" w:cs="宋体"/>
          <w:sz w:val="28"/>
          <w:szCs w:val="36"/>
        </w:rPr>
        <w:t>：202</w:t>
      </w:r>
      <w:r>
        <w:rPr>
          <w:rFonts w:hint="eastAsia" w:ascii="宋体" w:hAnsi="宋体" w:cs="宋体"/>
          <w:sz w:val="28"/>
          <w:szCs w:val="36"/>
          <w:lang w:val="en-US" w:eastAsia="zh-CN"/>
        </w:rPr>
        <w:t>3</w:t>
      </w:r>
      <w:r>
        <w:rPr>
          <w:rFonts w:hint="eastAsia" w:ascii="宋体" w:hAnsi="宋体" w:cs="宋体"/>
          <w:sz w:val="28"/>
          <w:szCs w:val="36"/>
        </w:rPr>
        <w:t>年</w:t>
      </w:r>
      <w:r>
        <w:rPr>
          <w:rFonts w:hint="eastAsia" w:ascii="宋体" w:hAnsi="宋体" w:cs="宋体"/>
          <w:sz w:val="28"/>
          <w:szCs w:val="36"/>
          <w:lang w:val="en-US" w:eastAsia="zh-CN"/>
        </w:rPr>
        <w:t>3</w:t>
      </w:r>
      <w:r>
        <w:rPr>
          <w:rFonts w:hint="eastAsia" w:ascii="宋体" w:hAnsi="宋体" w:cs="宋体"/>
          <w:sz w:val="28"/>
          <w:szCs w:val="36"/>
        </w:rPr>
        <w:t>月</w:t>
      </w:r>
      <w:r>
        <w:rPr>
          <w:rFonts w:hint="eastAsia" w:ascii="宋体" w:hAnsi="宋体" w:cs="宋体"/>
          <w:sz w:val="28"/>
          <w:szCs w:val="36"/>
          <w:lang w:val="en-US" w:eastAsia="zh-CN"/>
        </w:rPr>
        <w:t>30</w:t>
      </w:r>
      <w:r>
        <w:rPr>
          <w:rFonts w:hint="eastAsia" w:ascii="宋体" w:hAnsi="宋体" w:cs="宋体"/>
          <w:sz w:val="28"/>
          <w:szCs w:val="36"/>
        </w:rPr>
        <w:t>日</w:t>
      </w:r>
    </w:p>
    <w:p w14:paraId="490083CA">
      <w:pPr>
        <w:pStyle w:val="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cs="宋体" w:eastAsiaTheme="minorEastAsia"/>
          <w:b/>
          <w:bCs/>
          <w:kern w:val="2"/>
          <w:sz w:val="28"/>
          <w:szCs w:val="36"/>
          <w:lang w:val="en-US" w:eastAsia="zh-CN" w:bidi="ar-SA"/>
        </w:rPr>
      </w:pPr>
      <w:r>
        <w:rPr>
          <w:rFonts w:hint="eastAsia" w:ascii="宋体" w:hAnsi="宋体" w:cs="宋体" w:eastAsiaTheme="minorEastAsia"/>
          <w:b/>
          <w:bCs/>
          <w:kern w:val="2"/>
          <w:sz w:val="28"/>
          <w:szCs w:val="36"/>
          <w:lang w:val="en-US" w:eastAsia="zh-CN" w:bidi="ar-SA"/>
        </w:rPr>
        <w:t>三、项目概况</w:t>
      </w:r>
    </w:p>
    <w:p w14:paraId="728669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Chars="0" w:firstLine="562" w:firstLineChars="200"/>
        <w:jc w:val="left"/>
        <w:textAlignment w:val="auto"/>
        <w:rPr>
          <w:rFonts w:hint="eastAsia"/>
          <w:b/>
          <w:bCs/>
          <w:sz w:val="28"/>
          <w:szCs w:val="28"/>
          <w:highlight w:val="none"/>
          <w:lang w:eastAsia="zh-CN"/>
        </w:rPr>
      </w:pPr>
      <w:r>
        <w:rPr>
          <w:rFonts w:hint="eastAsia"/>
          <w:b/>
          <w:bCs/>
          <w:sz w:val="28"/>
          <w:szCs w:val="28"/>
          <w:highlight w:val="none"/>
          <w:lang w:eastAsia="zh-CN"/>
        </w:rPr>
        <w:t>内容：</w:t>
      </w:r>
    </w:p>
    <w:p w14:paraId="72508E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Chars="0"/>
        <w:jc w:val="left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1.1、名称： 汽车衡与平台秤年度维保</w:t>
      </w:r>
    </w:p>
    <w:tbl>
      <w:tblPr>
        <w:tblStyle w:val="7"/>
        <w:tblW w:w="0" w:type="auto"/>
        <w:tblInd w:w="6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2918"/>
        <w:gridCol w:w="1295"/>
        <w:gridCol w:w="819"/>
        <w:gridCol w:w="2052"/>
      </w:tblGrid>
      <w:tr w14:paraId="357D1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778" w:type="dxa"/>
            <w:noWrap w:val="0"/>
            <w:vAlign w:val="top"/>
          </w:tcPr>
          <w:p w14:paraId="014540E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05050"/>
                <w:spacing w:val="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2918" w:type="dxa"/>
            <w:noWrap w:val="0"/>
            <w:vAlign w:val="top"/>
          </w:tcPr>
          <w:p w14:paraId="6995B48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05050"/>
                <w:spacing w:val="0"/>
                <w:sz w:val="24"/>
                <w:szCs w:val="24"/>
                <w:shd w:val="clear" w:color="auto" w:fill="FFFFFF"/>
              </w:rPr>
              <w:t>名称</w:t>
            </w:r>
          </w:p>
        </w:tc>
        <w:tc>
          <w:tcPr>
            <w:tcW w:w="1295" w:type="dxa"/>
            <w:noWrap w:val="0"/>
            <w:vAlign w:val="top"/>
          </w:tcPr>
          <w:p w14:paraId="4F4336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05050"/>
                <w:spacing w:val="0"/>
                <w:sz w:val="24"/>
                <w:szCs w:val="24"/>
                <w:shd w:val="clear" w:color="auto" w:fill="FFFFFF"/>
              </w:rPr>
              <w:t>型号</w:t>
            </w:r>
          </w:p>
        </w:tc>
        <w:tc>
          <w:tcPr>
            <w:tcW w:w="819" w:type="dxa"/>
            <w:noWrap w:val="0"/>
            <w:vAlign w:val="top"/>
          </w:tcPr>
          <w:p w14:paraId="0FD53D5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05050"/>
                <w:spacing w:val="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2052" w:type="dxa"/>
            <w:noWrap w:val="0"/>
            <w:vAlign w:val="top"/>
          </w:tcPr>
          <w:p w14:paraId="6EF147A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05050"/>
                <w:spacing w:val="0"/>
                <w:sz w:val="24"/>
                <w:szCs w:val="24"/>
                <w:shd w:val="clear" w:color="auto" w:fill="FFFFFF"/>
              </w:rPr>
              <w:t>品牌</w:t>
            </w:r>
          </w:p>
        </w:tc>
      </w:tr>
      <w:tr w14:paraId="48FBD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8" w:type="dxa"/>
            <w:noWrap w:val="0"/>
            <w:vAlign w:val="top"/>
          </w:tcPr>
          <w:p w14:paraId="5433CB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宋体" w:hAnsi="宋体" w:eastAsia="宋体" w:cs="宋体"/>
                <w:i w:val="0"/>
                <w:caps w:val="0"/>
                <w:color w:val="50505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0505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2918" w:type="dxa"/>
            <w:noWrap w:val="0"/>
            <w:vAlign w:val="top"/>
          </w:tcPr>
          <w:p w14:paraId="5F4AE78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50505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05050"/>
                <w:spacing w:val="0"/>
                <w:sz w:val="24"/>
                <w:szCs w:val="24"/>
                <w:shd w:val="clear" w:color="auto" w:fill="FFFFFF"/>
              </w:rPr>
              <w:t>数字汽车衡年度维护保养</w:t>
            </w:r>
          </w:p>
        </w:tc>
        <w:tc>
          <w:tcPr>
            <w:tcW w:w="1295" w:type="dxa"/>
            <w:noWrap w:val="0"/>
            <w:vAlign w:val="top"/>
          </w:tcPr>
          <w:p w14:paraId="43C80D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50505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05050"/>
                <w:spacing w:val="0"/>
                <w:sz w:val="24"/>
                <w:szCs w:val="24"/>
                <w:shd w:val="clear" w:color="auto" w:fill="FFFFFF"/>
              </w:rPr>
              <w:t>SCS-100</w:t>
            </w:r>
          </w:p>
        </w:tc>
        <w:tc>
          <w:tcPr>
            <w:tcW w:w="819" w:type="dxa"/>
            <w:noWrap w:val="0"/>
            <w:vAlign w:val="top"/>
          </w:tcPr>
          <w:p w14:paraId="17993CE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宋体" w:hAnsi="宋体" w:eastAsia="宋体" w:cs="宋体"/>
                <w:i w:val="0"/>
                <w:caps w:val="0"/>
                <w:color w:val="50505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0505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2052" w:type="dxa"/>
            <w:noWrap w:val="0"/>
            <w:vAlign w:val="top"/>
          </w:tcPr>
          <w:p w14:paraId="6FDEA72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50505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05050"/>
                <w:spacing w:val="0"/>
                <w:sz w:val="24"/>
                <w:szCs w:val="24"/>
                <w:shd w:val="clear" w:color="auto" w:fill="FFFFFF"/>
              </w:rPr>
              <w:t>梅特勒-托利多</w:t>
            </w:r>
          </w:p>
        </w:tc>
      </w:tr>
      <w:tr w14:paraId="43B40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8" w:type="dxa"/>
            <w:noWrap w:val="0"/>
            <w:vAlign w:val="top"/>
          </w:tcPr>
          <w:p w14:paraId="1D42CA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宋体" w:hAnsi="宋体" w:eastAsia="宋体" w:cs="宋体"/>
                <w:i w:val="0"/>
                <w:caps w:val="0"/>
                <w:color w:val="50505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0505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2918" w:type="dxa"/>
            <w:noWrap w:val="0"/>
            <w:vAlign w:val="top"/>
          </w:tcPr>
          <w:p w14:paraId="6FB888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50505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05050"/>
                <w:spacing w:val="0"/>
                <w:sz w:val="24"/>
                <w:szCs w:val="24"/>
                <w:shd w:val="clear" w:color="auto" w:fill="FFFFFF"/>
              </w:rPr>
              <w:t>平台秤年度维护保养</w:t>
            </w:r>
          </w:p>
        </w:tc>
        <w:tc>
          <w:tcPr>
            <w:tcW w:w="1295" w:type="dxa"/>
            <w:noWrap w:val="0"/>
            <w:vAlign w:val="top"/>
          </w:tcPr>
          <w:p w14:paraId="770A511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50505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05050"/>
                <w:spacing w:val="0"/>
                <w:sz w:val="24"/>
                <w:szCs w:val="24"/>
                <w:shd w:val="clear" w:color="auto" w:fill="FFFFFF"/>
              </w:rPr>
              <w:t>SCS-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0505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819" w:type="dxa"/>
            <w:noWrap w:val="0"/>
            <w:vAlign w:val="top"/>
          </w:tcPr>
          <w:p w14:paraId="6E21723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宋体" w:hAnsi="宋体" w:eastAsia="宋体" w:cs="宋体"/>
                <w:i w:val="0"/>
                <w:caps w:val="0"/>
                <w:color w:val="50505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0505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2052" w:type="dxa"/>
            <w:noWrap w:val="0"/>
            <w:vAlign w:val="top"/>
          </w:tcPr>
          <w:p w14:paraId="54D87EB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50505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05050"/>
                <w:spacing w:val="0"/>
                <w:sz w:val="24"/>
                <w:szCs w:val="24"/>
                <w:shd w:val="clear" w:color="auto" w:fill="FFFFFF"/>
              </w:rPr>
              <w:t>梅特勒-托利多</w:t>
            </w:r>
          </w:p>
        </w:tc>
      </w:tr>
    </w:tbl>
    <w:p w14:paraId="4A6555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1.2、相关要求：</w:t>
      </w:r>
    </w:p>
    <w:p w14:paraId="049D86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20" w:firstLine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a)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合同履行时间为自合同签订日起3年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（含3年）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。</w:t>
      </w:r>
    </w:p>
    <w:p w14:paraId="0DDDFE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20" w:firstLine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每季度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供方技术人员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按照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行业衡器类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维护保养规程对设备进行维护保养，对设备进行维护和调整。</w:t>
      </w:r>
    </w:p>
    <w:p w14:paraId="07132C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20" w:firstLine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b)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对设备周围进行直观检查。对电气、机械设备和基础的检查等。</w:t>
      </w:r>
    </w:p>
    <w:p w14:paraId="380DB9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20" w:firstLine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c)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对可能影响衡器正常工作的部件的清洁及相关杂物的清理等。</w:t>
      </w:r>
    </w:p>
    <w:p w14:paraId="7ECCC4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20" w:firstLine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d)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对设备进行功能检查，对仪表和误差等的检查等 。</w:t>
      </w:r>
    </w:p>
    <w:p w14:paraId="1D32EA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20" w:firstLine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e)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对操作人员的现场培训。</w:t>
      </w:r>
    </w:p>
    <w:p w14:paraId="33C3AF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20" w:firstLine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f)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校准或最小称量的测量和设置。</w:t>
      </w:r>
    </w:p>
    <w:p w14:paraId="3CC569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20" w:firstLine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g)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如衡器出现问题，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供方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需在工作日</w:t>
      </w:r>
      <w:r>
        <w:rPr>
          <w:rFonts w:hint="eastAsia" w:ascii="宋体" w:hAnsi="宋体" w:cs="宋体"/>
          <w:sz w:val="28"/>
          <w:szCs w:val="28"/>
          <w:lang w:val="en-US" w:eastAsia="zh-CN"/>
        </w:rPr>
        <w:t>4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小时内维修人员到场、</w:t>
      </w:r>
      <w:r>
        <w:rPr>
          <w:rFonts w:hint="eastAsia" w:ascii="宋体" w:hAnsi="宋体" w:cs="宋体"/>
          <w:sz w:val="28"/>
          <w:szCs w:val="28"/>
          <w:lang w:val="en-US" w:eastAsia="zh-CN"/>
        </w:rPr>
        <w:tab/>
      </w:r>
      <w:r>
        <w:rPr>
          <w:rFonts w:hint="eastAsia" w:ascii="宋体" w:hAnsi="宋体" w:cs="宋体"/>
          <w:sz w:val="28"/>
          <w:szCs w:val="28"/>
          <w:lang w:val="en-US" w:eastAsia="zh-CN"/>
        </w:rPr>
        <w:tab/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节假日</w:t>
      </w:r>
      <w:r>
        <w:rPr>
          <w:rFonts w:hint="eastAsia" w:ascii="宋体" w:hAnsi="宋体" w:cs="宋体"/>
          <w:sz w:val="28"/>
          <w:szCs w:val="28"/>
          <w:lang w:val="en-US" w:eastAsia="zh-CN"/>
        </w:rPr>
        <w:t>6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小时内到场。</w:t>
      </w:r>
    </w:p>
    <w:p w14:paraId="26CCC3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20" w:firstLineChars="0"/>
        <w:jc w:val="left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h)配合计量部门对地磅进行检定(需方提前2天通知)。</w:t>
      </w:r>
    </w:p>
    <w:p w14:paraId="040B67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20" w:firstLineChars="0"/>
        <w:jc w:val="left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i)如果在日常使用和维护保养中发现有器件损坏（包括仪表、线路、传感器），供方免费更换。更换部件品牌为梅特勒托利多原厂产品，日常设备发生故障，需方享有供方响应维修服务的最优先级，维修人工费和器件费免费。</w:t>
      </w:r>
    </w:p>
    <w:p w14:paraId="699D162B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beforeAutospacing="0" w:afterAutospacing="0" w:line="600" w:lineRule="exact"/>
        <w:jc w:val="both"/>
        <w:outlineLvl w:val="9"/>
        <w:rPr>
          <w:rFonts w:hint="eastAsia"/>
          <w:b/>
          <w:bCs/>
          <w:sz w:val="28"/>
          <w:szCs w:val="28"/>
          <w:highlight w:val="none"/>
          <w:lang w:eastAsia="zh-CN"/>
        </w:rPr>
      </w:pPr>
    </w:p>
    <w:p w14:paraId="108B569C">
      <w:pPr>
        <w:numPr>
          <w:ilvl w:val="0"/>
          <w:numId w:val="0"/>
        </w:numPr>
        <w:spacing w:line="300" w:lineRule="auto"/>
        <w:rPr>
          <w:rFonts w:hint="eastAsia" w:ascii="宋体" w:hAnsi="宋体" w:cs="宋体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color w:val="000000"/>
          <w:sz w:val="28"/>
          <w:szCs w:val="28"/>
          <w:lang w:val="en-US" w:eastAsia="zh-CN"/>
        </w:rPr>
        <w:t>四、付款方式</w:t>
      </w:r>
      <w:r>
        <w:rPr>
          <w:rFonts w:hint="eastAsia" w:ascii="宋体" w:hAnsi="宋体" w:cs="宋体"/>
          <w:b w:val="0"/>
          <w:bCs/>
          <w:color w:val="000000"/>
          <w:sz w:val="28"/>
          <w:szCs w:val="28"/>
          <w:lang w:val="en-US" w:eastAsia="zh-CN"/>
        </w:rPr>
        <w:t xml:space="preserve"> </w:t>
      </w:r>
    </w:p>
    <w:p w14:paraId="0CA3478C">
      <w:pPr>
        <w:numPr>
          <w:ilvl w:val="0"/>
          <w:numId w:val="0"/>
        </w:numPr>
        <w:spacing w:line="300" w:lineRule="auto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/>
          <w:color w:val="000000"/>
          <w:sz w:val="28"/>
          <w:szCs w:val="28"/>
          <w:lang w:val="en-US" w:eastAsia="zh-CN"/>
        </w:rPr>
        <w:t>甲方每年度视维保情况和服务情况，年底进行服务验收，验收合格后支付当年度（合同签订后12个月）维保费用，共支付三次（供方每12个月开具发票一次）。</w:t>
      </w:r>
    </w:p>
    <w:p w14:paraId="4D50F2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bidi w:val="0"/>
        <w:spacing w:beforeAutospacing="0" w:afterAutospacing="0" w:line="600" w:lineRule="exact"/>
        <w:outlineLvl w:val="9"/>
        <w:rPr>
          <w:rFonts w:hint="eastAsia" w:ascii="宋体" w:hAnsi="宋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color w:val="000000"/>
          <w:sz w:val="28"/>
          <w:szCs w:val="28"/>
          <w:lang w:val="en-US" w:eastAsia="zh-CN"/>
        </w:rPr>
        <w:t>五、报价</w:t>
      </w:r>
    </w:p>
    <w:p w14:paraId="4A6381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bidi w:val="0"/>
        <w:spacing w:beforeAutospacing="0" w:afterAutospacing="0" w:line="600" w:lineRule="exact"/>
        <w:ind w:firstLine="560" w:firstLineChars="200"/>
        <w:outlineLvl w:val="9"/>
        <w:rPr>
          <w:rFonts w:hint="eastAsia" w:ascii="宋体" w:hAnsi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 w:val="0"/>
          <w:color w:val="000000"/>
          <w:sz w:val="28"/>
          <w:szCs w:val="28"/>
          <w:lang w:val="en-US" w:eastAsia="zh-CN"/>
        </w:rPr>
        <w:t>需方报价为含税价，需方提供13%增值税专用发票，供方凭票付款，</w:t>
      </w:r>
      <w:r>
        <w:rPr>
          <w:rFonts w:hint="eastAsia" w:ascii="宋体" w:hAnsi="宋体" w:cs="宋体"/>
          <w:b w:val="0"/>
          <w:bCs/>
          <w:color w:val="000000"/>
          <w:sz w:val="28"/>
          <w:szCs w:val="28"/>
          <w:lang w:val="en-US" w:eastAsia="zh-CN"/>
        </w:rPr>
        <w:t>如不能提供，应注明实开税率。</w:t>
      </w:r>
    </w:p>
    <w:p w14:paraId="5F347ABA">
      <w:pPr>
        <w:shd w:val="clear" w:color="auto" w:fill="FFFFFF"/>
        <w:spacing w:line="400" w:lineRule="atLeast"/>
        <w:jc w:val="left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六</w:t>
      </w:r>
      <w:r>
        <w:rPr>
          <w:rFonts w:hint="eastAsia" w:ascii="宋体" w:hAnsi="宋体"/>
          <w:b/>
          <w:bCs/>
          <w:sz w:val="28"/>
          <w:szCs w:val="28"/>
        </w:rPr>
        <w:t>、中标人确定</w:t>
      </w:r>
    </w:p>
    <w:p w14:paraId="36F11E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bidi w:val="0"/>
        <w:spacing w:beforeAutospacing="0" w:afterAutospacing="0" w:line="600" w:lineRule="exact"/>
        <w:ind w:firstLine="560" w:firstLineChars="200"/>
        <w:outlineLvl w:val="9"/>
        <w:rPr>
          <w:rFonts w:hint="eastAsia" w:ascii="宋体" w:hAnsi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 w:val="0"/>
          <w:color w:val="000000"/>
          <w:sz w:val="28"/>
          <w:szCs w:val="28"/>
          <w:lang w:val="en-US" w:eastAsia="zh-CN"/>
        </w:rPr>
        <w:t>有效投标的最低价中标。</w:t>
      </w:r>
    </w:p>
    <w:p w14:paraId="3D375A6D">
      <w:pPr>
        <w:shd w:val="clear" w:color="auto" w:fill="FFFFFF"/>
        <w:spacing w:line="400" w:lineRule="atLeast"/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七</w:t>
      </w:r>
      <w:r>
        <w:rPr>
          <w:rFonts w:hint="eastAsia" w:ascii="宋体" w:hAnsi="宋体"/>
          <w:b/>
          <w:bCs/>
          <w:sz w:val="28"/>
          <w:szCs w:val="28"/>
        </w:rPr>
        <w:t>、报价截止时间</w:t>
      </w:r>
    </w:p>
    <w:p w14:paraId="2E20AA5E">
      <w:pPr>
        <w:spacing w:line="360" w:lineRule="auto"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202</w:t>
      </w:r>
      <w:r>
        <w:rPr>
          <w:rFonts w:hint="eastAsia" w:ascii="宋体" w:hAnsi="宋体"/>
          <w:sz w:val="24"/>
          <w:lang w:val="en-US" w:eastAsia="zh-CN"/>
        </w:rPr>
        <w:t>3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4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6</w:t>
      </w:r>
      <w:r>
        <w:rPr>
          <w:rFonts w:hint="eastAsia" w:ascii="宋体" w:hAnsi="宋体"/>
          <w:sz w:val="24"/>
        </w:rPr>
        <w:t>日10:00时，逾期送达或未送达指定地点的报价文件不予受理。</w:t>
      </w:r>
    </w:p>
    <w:p w14:paraId="6BB4B444">
      <w:pPr>
        <w:shd w:val="clear" w:color="auto" w:fill="FFFFFF"/>
        <w:spacing w:line="400" w:lineRule="atLeast"/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八</w:t>
      </w:r>
      <w:r>
        <w:rPr>
          <w:rFonts w:hint="eastAsia" w:ascii="宋体" w:hAnsi="宋体"/>
          <w:b/>
          <w:bCs/>
          <w:sz w:val="28"/>
          <w:szCs w:val="28"/>
        </w:rPr>
        <w:t>、报价文件接收单位及相关联系人：</w:t>
      </w:r>
    </w:p>
    <w:p w14:paraId="683B9E5B">
      <w:pPr>
        <w:spacing w:line="360" w:lineRule="auto"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文件提交地址：张家港市锦丰镇三兴街道2</w:t>
      </w:r>
      <w:r>
        <w:rPr>
          <w:rFonts w:hint="eastAsia" w:ascii="宋体" w:hAnsi="宋体"/>
          <w:sz w:val="24"/>
          <w:lang w:val="en-US" w:eastAsia="zh-CN"/>
        </w:rPr>
        <w:t>2</w:t>
      </w:r>
      <w:r>
        <w:rPr>
          <w:rFonts w:hint="eastAsia" w:ascii="宋体" w:hAnsi="宋体"/>
          <w:sz w:val="24"/>
        </w:rPr>
        <w:t>0</w:t>
      </w:r>
      <w:r>
        <w:rPr>
          <w:rFonts w:hint="eastAsia" w:ascii="宋体" w:hAnsi="宋体"/>
          <w:sz w:val="24"/>
          <w:lang w:val="en-US" w:eastAsia="zh-CN"/>
        </w:rPr>
        <w:t>2</w:t>
      </w:r>
      <w:r>
        <w:rPr>
          <w:rFonts w:hint="eastAsia" w:ascii="宋体" w:hAnsi="宋体"/>
          <w:sz w:val="24"/>
        </w:rPr>
        <w:t xml:space="preserve">号，张家港联合铜业有限公司质量计量部（企管部）企管科；邮编：215624 </w:t>
      </w:r>
    </w:p>
    <w:p w14:paraId="2158222E">
      <w:pPr>
        <w:spacing w:line="360" w:lineRule="auto"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接收时间：投标截止日期前每天</w:t>
      </w:r>
      <w:bookmarkStart w:id="0" w:name="_GoBack"/>
      <w:bookmarkEnd w:id="0"/>
      <w:r>
        <w:rPr>
          <w:rFonts w:hint="eastAsia" w:ascii="宋体" w:hAnsi="宋体"/>
          <w:sz w:val="24"/>
        </w:rPr>
        <w:t>8：00至11：30，13：30至16：30，节假日除外。</w:t>
      </w:r>
    </w:p>
    <w:p w14:paraId="7B50858B">
      <w:pPr>
        <w:spacing w:line="360" w:lineRule="auto"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投标联系人：</w:t>
      </w:r>
      <w:r>
        <w:rPr>
          <w:rFonts w:hint="eastAsia" w:ascii="宋体" w:hAnsi="宋体"/>
          <w:sz w:val="24"/>
          <w:lang w:val="en-US" w:eastAsia="zh-CN"/>
        </w:rPr>
        <w:t>侯燕州</w:t>
      </w:r>
      <w:r>
        <w:rPr>
          <w:rFonts w:hint="eastAsia" w:ascii="宋体" w:hAnsi="宋体"/>
          <w:sz w:val="24"/>
        </w:rPr>
        <w:t>（0512-58533020）</w:t>
      </w:r>
    </w:p>
    <w:p w14:paraId="3A15CB98">
      <w:pPr>
        <w:spacing w:line="360" w:lineRule="auto"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业务咨询联系人：机动能源部  </w:t>
      </w:r>
      <w:r>
        <w:rPr>
          <w:rFonts w:hint="eastAsia" w:ascii="宋体" w:hAnsi="宋体"/>
          <w:sz w:val="24"/>
          <w:lang w:val="en-US" w:eastAsia="zh-CN"/>
        </w:rPr>
        <w:t>胡中亮</w:t>
      </w:r>
      <w:r>
        <w:rPr>
          <w:rFonts w:hint="eastAsia" w:ascii="宋体" w:hAnsi="宋体"/>
          <w:sz w:val="28"/>
          <w:szCs w:val="28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0512-58539130</w:t>
      </w:r>
      <w:r>
        <w:rPr>
          <w:rFonts w:hint="eastAsia" w:ascii="宋体" w:hAnsi="宋体"/>
          <w:sz w:val="28"/>
          <w:szCs w:val="28"/>
        </w:rPr>
        <w:t>）</w:t>
      </w:r>
    </w:p>
    <w:p w14:paraId="45AB70E1">
      <w:pPr>
        <w:pStyle w:val="4"/>
        <w:rPr>
          <w:rFonts w:hint="eastAsia"/>
          <w:lang w:val="en-US" w:eastAsia="zh-CN"/>
        </w:rPr>
      </w:pPr>
    </w:p>
    <w:p w14:paraId="099B3116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A635BF">
    <w:pPr>
      <w:pStyle w:val="10"/>
      <w:tabs>
        <w:tab w:val="clear" w:pos="4153"/>
        <w:tab w:val="clear" w:pos="8306"/>
      </w:tabs>
    </w:pPr>
  </w:p>
  <w:p w14:paraId="526C7235">
    <w:pPr>
      <w:pStyle w:val="10"/>
      <w:tabs>
        <w:tab w:val="clear" w:pos="4153"/>
        <w:tab w:val="clear" w:pos="8306"/>
      </w:tabs>
      <w:rPr>
        <w:sz w:val="18"/>
      </w:rPr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_x0000_s2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CC38179">
                          <w:pPr>
                            <w:pStyle w:val="10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  <w:p w14:paraId="13B0EA98"/>
                      </w:txbxContent>
                    </wps:txbx>
                    <wps:bodyPr rot="0" vert="horz" wrap="square" lIns="0" tIns="0" rIns="0" bIns="0" anchor="t" anchorCtr="0"/>
                  </wps:wsp>
                </a:graphicData>
              </a:graphic>
            </wp:anchor>
          </w:drawing>
        </mc:Choice>
        <mc:Fallback>
          <w:pict>
            <v:rect id="_x0000_s2049" o:spid="_x0000_s1026" o:spt="1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FmtmPLTAAAA&#10;BQEAAA8AAAAAAAAAAQAgAAAAIgAAAGRycy9kb3ducmV2LnhtbFBLAQIUABQAAAAIAIdO4kDbRAFC&#10;sAEAAHYDAAAOAAAAAAAAAAEAIAAAACIBAABkcnMvZTJvRG9jLnhtbFBLBQYAAAAABgAGAFkBAABE&#10;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CC38179">
                    <w:pPr>
                      <w:pStyle w:val="10"/>
                      <w:tabs>
                        <w:tab w:val="clear" w:pos="4153"/>
                        <w:tab w:val="clear" w:pos="8306"/>
                      </w:tabs>
                      <w:rPr>
                        <w:rFonts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  <w:p w14:paraId="13B0EA98"/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0C2A01"/>
    <w:multiLevelType w:val="multilevel"/>
    <w:tmpl w:val="7C0C2A01"/>
    <w:lvl w:ilvl="0" w:tentative="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ZGNkZTBiNjMzYTY2OTdmZjcwNzZmMjBjZWIwNGUifQ=="/>
  </w:docVars>
  <w:rsids>
    <w:rsidRoot w:val="69EF174A"/>
    <w:rsid w:val="257E1B4E"/>
    <w:rsid w:val="2BB92785"/>
    <w:rsid w:val="396D2252"/>
    <w:rsid w:val="69EF174A"/>
    <w:rsid w:val="77960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wordWrap w:val="0"/>
      <w:spacing w:after="160"/>
      <w:jc w:val="both"/>
      <w:outlineLvl w:val="1"/>
    </w:pPr>
    <w:rPr>
      <w:sz w:val="21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ind w:firstLine="420" w:firstLineChars="100"/>
    </w:p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普通(网站)1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/>
      <w:kern w:val="0"/>
      <w:sz w:val="24"/>
      <w:szCs w:val="24"/>
    </w:rPr>
  </w:style>
  <w:style w:type="paragraph" w:customStyle="1" w:styleId="10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768</Words>
  <Characters>861</Characters>
  <Lines>0</Lines>
  <Paragraphs>0</Paragraphs>
  <TotalTime>2</TotalTime>
  <ScaleCrop>false</ScaleCrop>
  <LinksUpToDate>false</LinksUpToDate>
  <CharactersWithSpaces>869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2023-03-30T05:39:00Z</dcterms:created>
  <dc:creator>houyz</dc:creator>
  <cp:lastModifiedBy>houyz</cp:lastModifiedBy>
  <dcterms:modified xsi:type="dcterms:W3CDTF">2025-06-05T13:22:30Z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05F28C75CCD64CEAAA2793765B631990</vt:lpwstr>
  </property>
  <property fmtid="{D5CDD505-2E9C-101B-9397-08002B2CF9AE}" pid="4" name="KSOTemplateDocerSaveRecord">
    <vt:lpwstr>eyJoZGlkIjoiOGI4ZGNkZTBiNjMzYTY2OTdmZjcwNzZmMjBjZWIwNGUiLCJ1c2VySWQiOiIyODYxNDcyMjAifQ==</vt:lpwstr>
  </property>
</Properties>
</file>