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94922A">
      <w:pPr>
        <w:spacing w:before="120" w:beforeLines="50" w:after="120" w:afterLines="50"/>
        <w:jc w:val="center"/>
        <w:rPr>
          <w:rFonts w:hint="eastAsia" w:eastAsia="黑体"/>
          <w:sz w:val="44"/>
          <w:szCs w:val="22"/>
          <w:lang w:val="en-US" w:eastAsia="zh-CN"/>
        </w:rPr>
      </w:pPr>
      <w:r>
        <w:rPr>
          <w:rFonts w:hint="eastAsia" w:eastAsia="黑体"/>
          <w:sz w:val="44"/>
          <w:szCs w:val="22"/>
          <w:lang w:val="en-US" w:eastAsia="zh-CN"/>
        </w:rPr>
        <w:t>废旧高铝耐火砖竞价</w:t>
      </w:r>
      <w:r>
        <w:rPr>
          <w:rFonts w:hint="eastAsia" w:eastAsia="黑体"/>
          <w:sz w:val="44"/>
          <w:szCs w:val="22"/>
          <w:lang w:eastAsia="zh-CN"/>
        </w:rPr>
        <w:t>销售</w:t>
      </w:r>
      <w:r>
        <w:rPr>
          <w:rFonts w:hint="eastAsia" w:eastAsia="黑体"/>
          <w:sz w:val="44"/>
          <w:szCs w:val="22"/>
          <w:lang w:val="en-US" w:eastAsia="zh-CN"/>
        </w:rPr>
        <w:t>竞价公告     （二次挂网 ）</w:t>
      </w:r>
    </w:p>
    <w:p w14:paraId="5112A271">
      <w:pPr>
        <w:spacing w:line="360" w:lineRule="auto"/>
        <w:rPr>
          <w:rFonts w:hint="default" w:ascii="宋体" w:hAnsi="宋体"/>
          <w:b/>
          <w:bCs/>
          <w:sz w:val="28"/>
          <w:szCs w:val="28"/>
          <w:lang w:val="en-US" w:eastAsia="zh-CN"/>
        </w:rPr>
      </w:pPr>
      <w:r>
        <w:rPr>
          <w:rFonts w:hint="eastAsia" w:ascii="宋体" w:hAnsi="宋体"/>
          <w:b/>
          <w:bCs/>
          <w:sz w:val="28"/>
          <w:szCs w:val="28"/>
          <w:lang w:val="en-US" w:eastAsia="zh-CN"/>
        </w:rPr>
        <w:t>一、竞价编号： LHTY-20220928-001</w:t>
      </w:r>
    </w:p>
    <w:p w14:paraId="0A977701">
      <w:pPr>
        <w:spacing w:line="360" w:lineRule="auto"/>
        <w:rPr>
          <w:rFonts w:hint="default" w:ascii="宋体" w:hAnsi="宋体"/>
          <w:b/>
          <w:bCs/>
          <w:sz w:val="28"/>
          <w:szCs w:val="28"/>
          <w:lang w:val="en-US" w:eastAsia="zh-CN"/>
        </w:rPr>
      </w:pPr>
      <w:r>
        <w:rPr>
          <w:rFonts w:hint="eastAsia" w:ascii="宋体" w:hAnsi="宋体"/>
          <w:b/>
          <w:bCs/>
          <w:sz w:val="28"/>
          <w:szCs w:val="28"/>
          <w:lang w:val="en-US" w:eastAsia="zh-CN"/>
        </w:rPr>
        <w:t>二、发布日期： 2022年9月 28日</w:t>
      </w:r>
    </w:p>
    <w:p w14:paraId="63A76A22">
      <w:pPr>
        <w:spacing w:line="360" w:lineRule="auto"/>
        <w:rPr>
          <w:rFonts w:hint="eastAsia" w:ascii="宋体" w:hAnsi="宋体"/>
          <w:b/>
          <w:bCs/>
          <w:sz w:val="28"/>
          <w:szCs w:val="28"/>
          <w:lang w:val="en-US" w:eastAsia="zh-CN"/>
        </w:rPr>
      </w:pPr>
      <w:r>
        <w:rPr>
          <w:rFonts w:hint="eastAsia" w:ascii="宋体" w:hAnsi="宋体"/>
          <w:b/>
          <w:bCs/>
          <w:sz w:val="28"/>
          <w:szCs w:val="28"/>
          <w:lang w:val="en-US" w:eastAsia="zh-CN"/>
        </w:rPr>
        <w:t>三</w:t>
      </w:r>
      <w:r>
        <w:rPr>
          <w:rFonts w:hint="eastAsia" w:ascii="宋体" w:hAnsi="宋体"/>
          <w:b/>
          <w:bCs/>
          <w:sz w:val="28"/>
          <w:szCs w:val="28"/>
        </w:rPr>
        <w:t>、</w:t>
      </w:r>
      <w:r>
        <w:rPr>
          <w:rFonts w:hint="eastAsia" w:ascii="宋体" w:hAnsi="宋体"/>
          <w:b/>
          <w:bCs/>
          <w:sz w:val="28"/>
          <w:szCs w:val="28"/>
          <w:lang w:val="en-US" w:eastAsia="zh-CN"/>
        </w:rPr>
        <w:t>竞价说明</w:t>
      </w:r>
    </w:p>
    <w:p w14:paraId="1E204F37">
      <w:pPr>
        <w:spacing w:line="360" w:lineRule="auto"/>
        <w:rPr>
          <w:rFonts w:hint="eastAsia" w:ascii="宋体" w:hAnsi="宋体"/>
          <w:b/>
          <w:bCs/>
          <w:sz w:val="24"/>
        </w:rPr>
      </w:pPr>
      <w:r>
        <w:rPr>
          <w:rFonts w:hint="eastAsia" w:ascii="宋体" w:hAnsi="宋体"/>
          <w:b/>
          <w:bCs/>
          <w:sz w:val="28"/>
          <w:szCs w:val="28"/>
          <w:lang w:eastAsia="zh-CN"/>
        </w:rPr>
        <w:t>（</w:t>
      </w:r>
      <w:r>
        <w:rPr>
          <w:rFonts w:hint="eastAsia" w:ascii="宋体" w:hAnsi="宋体"/>
          <w:b/>
          <w:bCs/>
          <w:sz w:val="28"/>
          <w:szCs w:val="28"/>
          <w:lang w:val="en-US" w:eastAsia="zh-CN"/>
        </w:rPr>
        <w:t>一</w:t>
      </w:r>
      <w:r>
        <w:rPr>
          <w:rFonts w:hint="eastAsia" w:ascii="宋体" w:hAnsi="宋体"/>
          <w:b/>
          <w:bCs/>
          <w:sz w:val="28"/>
          <w:szCs w:val="28"/>
          <w:lang w:eastAsia="zh-CN"/>
        </w:rPr>
        <w:t>）</w:t>
      </w:r>
      <w:r>
        <w:rPr>
          <w:rFonts w:hint="eastAsia" w:ascii="宋体" w:hAnsi="宋体"/>
          <w:b/>
          <w:bCs/>
          <w:sz w:val="28"/>
          <w:szCs w:val="28"/>
        </w:rPr>
        <w:t>、标的物名称、对应重量</w:t>
      </w:r>
      <w:r>
        <w:rPr>
          <w:rFonts w:hint="eastAsia" w:ascii="宋体" w:hAnsi="宋体"/>
          <w:b/>
          <w:bCs/>
          <w:sz w:val="28"/>
          <w:szCs w:val="28"/>
          <w:lang w:eastAsia="zh-CN"/>
        </w:rPr>
        <w:t>、</w:t>
      </w:r>
      <w:r>
        <w:rPr>
          <w:rFonts w:hint="eastAsia" w:ascii="宋体" w:hAnsi="宋体"/>
          <w:b/>
          <w:bCs/>
          <w:sz w:val="28"/>
          <w:szCs w:val="28"/>
          <w:lang w:val="en-US" w:eastAsia="zh-CN"/>
        </w:rPr>
        <w:t>包装形式</w:t>
      </w:r>
      <w:r>
        <w:rPr>
          <w:rFonts w:hint="eastAsia" w:ascii="宋体" w:hAnsi="宋体"/>
          <w:b/>
          <w:bCs/>
          <w:sz w:val="28"/>
          <w:szCs w:val="28"/>
        </w:rPr>
        <w:t>：</w:t>
      </w:r>
    </w:p>
    <w:tbl>
      <w:tblPr>
        <w:tblStyle w:val="7"/>
        <w:tblW w:w="94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1868"/>
        <w:gridCol w:w="1275"/>
        <w:gridCol w:w="3786"/>
        <w:gridCol w:w="2562"/>
      </w:tblGrid>
      <w:tr w14:paraId="0E12C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68" w:type="dxa"/>
            <w:shd w:val="clear" w:color="auto" w:fill="FFFFFF"/>
            <w:noWrap w:val="0"/>
            <w:vAlign w:val="center"/>
          </w:tcPr>
          <w:p w14:paraId="07D37C9D">
            <w:pPr>
              <w:spacing w:line="360" w:lineRule="auto"/>
              <w:jc w:val="center"/>
              <w:rPr>
                <w:rFonts w:hint="default" w:ascii="宋体" w:hAnsi="宋体" w:cs="宋体"/>
                <w:sz w:val="28"/>
                <w:szCs w:val="28"/>
                <w:lang w:val="en-US" w:eastAsia="zh-CN"/>
              </w:rPr>
            </w:pPr>
            <w:r>
              <w:rPr>
                <w:rFonts w:hint="eastAsia" w:ascii="宋体" w:hAnsi="宋体" w:cs="宋体"/>
                <w:sz w:val="28"/>
                <w:szCs w:val="28"/>
                <w:lang w:val="en-US" w:eastAsia="zh-CN"/>
              </w:rPr>
              <w:t>标的物</w:t>
            </w:r>
          </w:p>
        </w:tc>
        <w:tc>
          <w:tcPr>
            <w:tcW w:w="1275" w:type="dxa"/>
            <w:shd w:val="clear" w:color="auto" w:fill="FFFFFF"/>
            <w:noWrap w:val="0"/>
            <w:vAlign w:val="center"/>
          </w:tcPr>
          <w:p w14:paraId="2BE2EE38">
            <w:pPr>
              <w:spacing w:line="360" w:lineRule="auto"/>
              <w:jc w:val="center"/>
              <w:rPr>
                <w:rFonts w:hint="default" w:ascii="宋体" w:hAnsi="宋体" w:cs="宋体"/>
                <w:sz w:val="28"/>
                <w:szCs w:val="28"/>
                <w:lang w:val="en-US" w:eastAsia="zh-CN"/>
              </w:rPr>
            </w:pPr>
            <w:r>
              <w:rPr>
                <w:rFonts w:hint="eastAsia" w:ascii="宋体" w:hAnsi="宋体" w:cs="宋体"/>
                <w:sz w:val="28"/>
                <w:szCs w:val="28"/>
                <w:lang w:val="en-US" w:eastAsia="zh-CN"/>
              </w:rPr>
              <w:t>数量（吨）</w:t>
            </w:r>
          </w:p>
        </w:tc>
        <w:tc>
          <w:tcPr>
            <w:tcW w:w="3786" w:type="dxa"/>
            <w:shd w:val="clear" w:color="auto" w:fill="FFFFFF"/>
            <w:noWrap w:val="0"/>
            <w:vAlign w:val="center"/>
          </w:tcPr>
          <w:p w14:paraId="17CCFD94">
            <w:pPr>
              <w:spacing w:line="360" w:lineRule="auto"/>
              <w:jc w:val="center"/>
              <w:rPr>
                <w:rFonts w:hint="eastAsia" w:ascii="宋体" w:hAnsi="宋体" w:eastAsia="宋体" w:cs="宋体"/>
                <w:sz w:val="28"/>
                <w:szCs w:val="28"/>
                <w:lang w:val="en-US" w:eastAsia="zh-CN"/>
              </w:rPr>
            </w:pPr>
            <w:r>
              <w:rPr>
                <w:rFonts w:hint="eastAsia" w:ascii="宋体" w:hAnsi="宋体" w:cs="宋体"/>
                <w:sz w:val="28"/>
                <w:szCs w:val="28"/>
                <w:lang w:val="en-US" w:eastAsia="zh-CN"/>
              </w:rPr>
              <w:t>成分</w:t>
            </w:r>
          </w:p>
        </w:tc>
        <w:tc>
          <w:tcPr>
            <w:tcW w:w="2562" w:type="dxa"/>
            <w:shd w:val="clear" w:color="auto" w:fill="FFFFFF"/>
            <w:noWrap w:val="0"/>
            <w:vAlign w:val="center"/>
          </w:tcPr>
          <w:p w14:paraId="5DCBF828">
            <w:pPr>
              <w:spacing w:line="360" w:lineRule="auto"/>
              <w:jc w:val="center"/>
              <w:rPr>
                <w:rFonts w:hint="default" w:ascii="宋体" w:hAnsi="宋体" w:cs="宋体"/>
                <w:sz w:val="28"/>
                <w:szCs w:val="28"/>
                <w:lang w:val="en-US" w:eastAsia="zh-CN"/>
              </w:rPr>
            </w:pPr>
            <w:r>
              <w:rPr>
                <w:rFonts w:hint="eastAsia" w:ascii="宋体" w:hAnsi="宋体" w:cs="宋体"/>
                <w:sz w:val="28"/>
                <w:szCs w:val="28"/>
                <w:lang w:val="en-US" w:eastAsia="zh-CN"/>
              </w:rPr>
              <w:t>物理规格及包装</w:t>
            </w:r>
          </w:p>
        </w:tc>
      </w:tr>
      <w:tr w14:paraId="36308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1434" w:hRule="exact"/>
          <w:jc w:val="center"/>
        </w:trPr>
        <w:tc>
          <w:tcPr>
            <w:tcW w:w="1868" w:type="dxa"/>
            <w:shd w:val="clear" w:color="auto" w:fill="FFFFFF"/>
            <w:noWrap w:val="0"/>
            <w:vAlign w:val="center"/>
          </w:tcPr>
          <w:p w14:paraId="363B1C5A">
            <w:pPr>
              <w:spacing w:line="360" w:lineRule="auto"/>
              <w:jc w:val="center"/>
              <w:rPr>
                <w:rFonts w:hint="default" w:ascii="宋体" w:hAnsi="宋体" w:eastAsia="宋体" w:cs="宋体"/>
                <w:sz w:val="28"/>
                <w:szCs w:val="28"/>
                <w:lang w:val="en-US" w:eastAsia="zh-CN"/>
              </w:rPr>
            </w:pPr>
            <w:r>
              <w:rPr>
                <w:rFonts w:hint="eastAsia" w:ascii="宋体" w:hAnsi="宋体" w:cs="宋体"/>
                <w:sz w:val="24"/>
                <w:szCs w:val="24"/>
                <w:lang w:val="en-US" w:eastAsia="zh-CN"/>
              </w:rPr>
              <w:t>废旧高铝耐火砖</w:t>
            </w:r>
          </w:p>
        </w:tc>
        <w:tc>
          <w:tcPr>
            <w:tcW w:w="1275" w:type="dxa"/>
            <w:shd w:val="clear" w:color="auto" w:fill="FFFFFF"/>
            <w:noWrap w:val="0"/>
            <w:vAlign w:val="center"/>
          </w:tcPr>
          <w:p w14:paraId="5F70D37D">
            <w:pPr>
              <w:spacing w:line="360" w:lineRule="auto"/>
              <w:jc w:val="center"/>
              <w:rPr>
                <w:rFonts w:hint="default" w:ascii="宋体" w:hAnsi="宋体" w:eastAsia="宋体" w:cs="宋体"/>
                <w:sz w:val="28"/>
                <w:szCs w:val="28"/>
                <w:lang w:val="en-US" w:eastAsia="zh-CN"/>
              </w:rPr>
            </w:pPr>
            <w:r>
              <w:rPr>
                <w:rFonts w:hint="eastAsia" w:ascii="宋体" w:hAnsi="宋体" w:cs="宋体"/>
                <w:sz w:val="28"/>
                <w:szCs w:val="28"/>
                <w:lang w:val="en-US" w:eastAsia="zh-CN"/>
              </w:rPr>
              <w:t>约200吨</w:t>
            </w:r>
          </w:p>
        </w:tc>
        <w:tc>
          <w:tcPr>
            <w:tcW w:w="3786" w:type="dxa"/>
            <w:shd w:val="clear" w:color="auto" w:fill="FFFFFF"/>
            <w:noWrap w:val="0"/>
            <w:vAlign w:val="center"/>
          </w:tcPr>
          <w:p w14:paraId="19784439">
            <w:pPr>
              <w:pStyle w:val="2"/>
              <w:ind w:left="0" w:leftChars="0" w:firstLine="0" w:firstLineChars="0"/>
              <w:jc w:val="center"/>
              <w:rPr>
                <w:rFonts w:hint="default"/>
                <w:sz w:val="28"/>
                <w:szCs w:val="28"/>
                <w:lang w:val="en-US" w:eastAsia="zh-CN"/>
              </w:rPr>
            </w:pPr>
            <w:r>
              <w:rPr>
                <w:rFonts w:hint="eastAsia"/>
                <w:sz w:val="28"/>
                <w:szCs w:val="28"/>
                <w:lang w:val="en-US" w:eastAsia="zh-CN"/>
              </w:rPr>
              <w:t>投标方自行取样测算</w:t>
            </w:r>
          </w:p>
        </w:tc>
        <w:tc>
          <w:tcPr>
            <w:tcW w:w="2562" w:type="dxa"/>
            <w:shd w:val="clear" w:color="auto" w:fill="FFFFFF"/>
            <w:noWrap w:val="0"/>
            <w:vAlign w:val="center"/>
          </w:tcPr>
          <w:p w14:paraId="1E6C5882">
            <w:pPr>
              <w:pStyle w:val="2"/>
              <w:ind w:left="0" w:leftChars="0" w:firstLine="0" w:firstLineChars="0"/>
              <w:jc w:val="center"/>
              <w:rPr>
                <w:rFonts w:hint="default"/>
                <w:sz w:val="28"/>
                <w:szCs w:val="28"/>
                <w:lang w:val="en-US" w:eastAsia="zh-CN"/>
              </w:rPr>
            </w:pPr>
            <w:r>
              <w:rPr>
                <w:rFonts w:hint="eastAsia"/>
                <w:sz w:val="28"/>
                <w:szCs w:val="28"/>
                <w:lang w:val="en-US" w:eastAsia="zh-CN"/>
              </w:rPr>
              <w:t>块状、散装</w:t>
            </w:r>
          </w:p>
        </w:tc>
      </w:tr>
    </w:tbl>
    <w:p w14:paraId="24703DCE">
      <w:pPr>
        <w:spacing w:line="360" w:lineRule="auto"/>
        <w:rPr>
          <w:rFonts w:hint="eastAsia" w:ascii="宋体" w:hAnsi="宋体" w:cs="宋体"/>
          <w:sz w:val="24"/>
        </w:rPr>
      </w:pPr>
      <w:r>
        <w:rPr>
          <w:rFonts w:hint="eastAsia" w:ascii="宋体" w:hAnsi="宋体" w:cs="宋体"/>
          <w:sz w:val="24"/>
        </w:rPr>
        <w:t>此处</w:t>
      </w:r>
      <w:r>
        <w:rPr>
          <w:rFonts w:hint="eastAsia" w:ascii="宋体" w:hAnsi="宋体" w:cs="宋体"/>
          <w:sz w:val="24"/>
          <w:lang w:val="en-US" w:eastAsia="zh-CN"/>
        </w:rPr>
        <w:t>数量</w:t>
      </w:r>
      <w:r>
        <w:rPr>
          <w:rFonts w:hint="eastAsia" w:ascii="宋体" w:hAnsi="宋体" w:cs="宋体"/>
          <w:sz w:val="24"/>
        </w:rPr>
        <w:t>仅供参考，</w:t>
      </w:r>
      <w:r>
        <w:rPr>
          <w:rFonts w:hint="eastAsia" w:ascii="宋体" w:hAnsi="宋体" w:cs="宋体"/>
          <w:sz w:val="24"/>
          <w:lang w:val="en-US" w:eastAsia="zh-CN"/>
        </w:rPr>
        <w:t>作价数量按实际发货数量为准</w:t>
      </w:r>
      <w:r>
        <w:rPr>
          <w:rFonts w:hint="eastAsia" w:ascii="宋体" w:hAnsi="宋体" w:cs="宋体"/>
          <w:sz w:val="24"/>
        </w:rPr>
        <w:t>。</w:t>
      </w:r>
    </w:p>
    <w:p w14:paraId="03034EE9">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default"/>
          <w:lang w:val="en-US" w:eastAsia="zh-CN"/>
        </w:rPr>
      </w:pPr>
      <w:r>
        <w:rPr>
          <w:rFonts w:hint="eastAsia"/>
          <w:b/>
          <w:bCs/>
          <w:sz w:val="28"/>
          <w:szCs w:val="36"/>
          <w:lang w:val="en-US" w:eastAsia="zh-CN"/>
        </w:rPr>
        <w:t>（二）投标人其他资质要求及说明：</w:t>
      </w:r>
    </w:p>
    <w:p w14:paraId="6664F5CC">
      <w:pPr>
        <w:keepNext w:val="0"/>
        <w:keepLines w:val="0"/>
        <w:pageBreakBefore w:val="0"/>
        <w:numPr>
          <w:ilvl w:val="0"/>
          <w:numId w:val="0"/>
        </w:numPr>
        <w:kinsoku/>
        <w:wordWrap/>
        <w:overflowPunct/>
        <w:topLinePunct w:val="0"/>
        <w:autoSpaceDE/>
        <w:autoSpaceDN/>
        <w:bidi w:val="0"/>
        <w:adjustRightInd/>
        <w:snapToGrid/>
        <w:spacing w:line="480" w:lineRule="exact"/>
        <w:ind w:firstLine="560"/>
        <w:textAlignment w:val="auto"/>
        <w:rPr>
          <w:rFonts w:hint="default"/>
          <w:sz w:val="28"/>
          <w:szCs w:val="36"/>
          <w:lang w:val="en-US" w:eastAsia="zh-CN"/>
        </w:rPr>
      </w:pPr>
      <w:r>
        <w:rPr>
          <w:rFonts w:hint="eastAsia"/>
          <w:sz w:val="28"/>
          <w:szCs w:val="36"/>
          <w:lang w:val="en-US" w:eastAsia="zh-CN"/>
        </w:rPr>
        <w:t>1、报价人应为江苏省内一般纳税人企业，营业范围应包含耐火材料生产、加工等资质，无资质企业谢绝参与本次竞价；</w:t>
      </w:r>
    </w:p>
    <w:p w14:paraId="57B119C6">
      <w:pPr>
        <w:keepNext w:val="0"/>
        <w:keepLines w:val="0"/>
        <w:pageBreakBefore w:val="0"/>
        <w:numPr>
          <w:ilvl w:val="0"/>
          <w:numId w:val="0"/>
        </w:numPr>
        <w:kinsoku/>
        <w:wordWrap/>
        <w:overflowPunct/>
        <w:topLinePunct w:val="0"/>
        <w:autoSpaceDE/>
        <w:autoSpaceDN/>
        <w:bidi w:val="0"/>
        <w:adjustRightInd/>
        <w:snapToGrid/>
        <w:spacing w:line="480" w:lineRule="exact"/>
        <w:ind w:firstLine="560"/>
        <w:textAlignment w:val="auto"/>
        <w:rPr>
          <w:rFonts w:hint="eastAsia"/>
          <w:sz w:val="28"/>
          <w:szCs w:val="36"/>
          <w:lang w:val="en-US" w:eastAsia="zh-CN"/>
        </w:rPr>
      </w:pPr>
      <w:r>
        <w:rPr>
          <w:rFonts w:hint="eastAsia"/>
          <w:sz w:val="28"/>
          <w:szCs w:val="36"/>
          <w:lang w:val="en-US" w:eastAsia="zh-CN"/>
        </w:rPr>
        <w:t>2、报价人报价前请提供以下资料：</w:t>
      </w:r>
    </w:p>
    <w:p w14:paraId="4CF264FC">
      <w:pPr>
        <w:ind w:firstLine="560" w:firstLineChars="20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（1）营业执照（副本）</w:t>
      </w:r>
      <w:r>
        <w:rPr>
          <w:rFonts w:hint="eastAsia" w:ascii="宋体" w:hAnsi="宋体" w:cs="宋体"/>
          <w:sz w:val="28"/>
          <w:szCs w:val="28"/>
          <w:lang w:val="en-US" w:eastAsia="zh-CN"/>
        </w:rPr>
        <w:t>复印件，盖章</w:t>
      </w:r>
    </w:p>
    <w:p w14:paraId="0D5483C0">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w:t>
      </w:r>
      <w:r>
        <w:rPr>
          <w:rFonts w:hint="eastAsia" w:ascii="宋体" w:hAnsi="宋体" w:cs="宋体"/>
          <w:sz w:val="28"/>
          <w:szCs w:val="28"/>
          <w:lang w:val="en-US" w:eastAsia="zh-CN"/>
        </w:rPr>
        <w:t>2</w:t>
      </w:r>
      <w:r>
        <w:rPr>
          <w:rFonts w:hint="eastAsia" w:ascii="宋体" w:hAnsi="宋体" w:eastAsia="宋体" w:cs="宋体"/>
          <w:sz w:val="28"/>
          <w:szCs w:val="28"/>
          <w:lang w:val="en-US" w:eastAsia="zh-CN"/>
        </w:rPr>
        <w:t>）废旧耐火材料生产</w:t>
      </w:r>
      <w:r>
        <w:rPr>
          <w:rFonts w:hint="eastAsia" w:ascii="宋体" w:hAnsi="宋体" w:cs="宋体"/>
          <w:sz w:val="28"/>
          <w:szCs w:val="28"/>
          <w:lang w:val="en-US" w:eastAsia="zh-CN"/>
        </w:rPr>
        <w:t>利用</w:t>
      </w:r>
      <w:r>
        <w:rPr>
          <w:rFonts w:hint="eastAsia" w:ascii="宋体" w:hAnsi="宋体" w:eastAsia="宋体" w:cs="宋体"/>
          <w:sz w:val="28"/>
          <w:szCs w:val="28"/>
          <w:lang w:val="en-US" w:eastAsia="zh-CN"/>
        </w:rPr>
        <w:t>工艺图</w:t>
      </w:r>
      <w:r>
        <w:rPr>
          <w:rFonts w:hint="eastAsia" w:ascii="宋体" w:hAnsi="宋体" w:cs="宋体"/>
          <w:sz w:val="28"/>
          <w:szCs w:val="28"/>
          <w:lang w:val="en-US" w:eastAsia="zh-CN"/>
        </w:rPr>
        <w:t>（完整结构）</w:t>
      </w:r>
    </w:p>
    <w:p w14:paraId="16A914F3">
      <w:pPr>
        <w:ind w:firstLine="560" w:firstLineChars="200"/>
        <w:rPr>
          <w:rFonts w:hint="eastAsia" w:ascii="宋体" w:hAnsi="宋体" w:eastAsia="宋体" w:cs="宋体"/>
          <w:sz w:val="28"/>
          <w:szCs w:val="28"/>
          <w:lang w:val="en-US" w:eastAsia="zh-CN"/>
        </w:rPr>
      </w:pPr>
      <w:r>
        <w:rPr>
          <w:rFonts w:hint="eastAsia" w:ascii="宋体" w:hAnsi="宋体" w:cs="宋体"/>
          <w:sz w:val="28"/>
          <w:szCs w:val="28"/>
          <w:lang w:val="en-US" w:eastAsia="zh-CN"/>
        </w:rPr>
        <w:t>3</w:t>
      </w:r>
      <w:r>
        <w:rPr>
          <w:rFonts w:hint="eastAsia" w:ascii="宋体" w:hAnsi="宋体" w:eastAsia="宋体" w:cs="宋体"/>
          <w:sz w:val="28"/>
          <w:szCs w:val="28"/>
          <w:lang w:val="en-US" w:eastAsia="zh-CN"/>
        </w:rPr>
        <w:t>、</w:t>
      </w:r>
      <w:r>
        <w:rPr>
          <w:rFonts w:hint="eastAsia" w:ascii="宋体" w:hAnsi="宋体" w:cs="宋体"/>
          <w:sz w:val="28"/>
          <w:szCs w:val="28"/>
          <w:lang w:val="en-US" w:eastAsia="zh-CN"/>
        </w:rPr>
        <w:t>根据江苏省生态环境厅针对一般固体废物管理要求，本次</w:t>
      </w:r>
      <w:r>
        <w:rPr>
          <w:rFonts w:hint="eastAsia" w:ascii="宋体" w:hAnsi="宋体" w:eastAsia="宋体" w:cs="宋体"/>
          <w:sz w:val="28"/>
          <w:szCs w:val="28"/>
          <w:lang w:val="en-US" w:eastAsia="zh-CN"/>
        </w:rPr>
        <w:t>标的物</w:t>
      </w:r>
      <w:r>
        <w:rPr>
          <w:rFonts w:hint="eastAsia" w:ascii="宋体" w:hAnsi="宋体" w:cs="宋体"/>
          <w:sz w:val="28"/>
          <w:szCs w:val="28"/>
          <w:lang w:val="en-US" w:eastAsia="zh-CN"/>
        </w:rPr>
        <w:t>须</w:t>
      </w:r>
      <w:r>
        <w:rPr>
          <w:rFonts w:hint="eastAsia" w:ascii="宋体" w:hAnsi="宋体" w:eastAsia="宋体" w:cs="宋体"/>
          <w:sz w:val="28"/>
          <w:szCs w:val="28"/>
          <w:lang w:val="en-US" w:eastAsia="zh-CN"/>
        </w:rPr>
        <w:t>通过公路运输形式进行运输转移，不接收其他运输方式</w:t>
      </w:r>
      <w:r>
        <w:rPr>
          <w:rFonts w:hint="eastAsia" w:ascii="宋体" w:hAnsi="宋体" w:cs="宋体"/>
          <w:sz w:val="28"/>
          <w:szCs w:val="28"/>
          <w:lang w:val="en-US" w:eastAsia="zh-CN"/>
        </w:rPr>
        <w:t>。</w:t>
      </w:r>
    </w:p>
    <w:p w14:paraId="6796DF4B">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eastAsia"/>
          <w:b/>
          <w:bCs/>
          <w:sz w:val="28"/>
          <w:szCs w:val="36"/>
          <w:lang w:val="en-US" w:eastAsia="zh-CN"/>
        </w:rPr>
      </w:pPr>
      <w:r>
        <w:rPr>
          <w:rFonts w:hint="eastAsia"/>
          <w:b/>
          <w:bCs/>
          <w:sz w:val="28"/>
          <w:szCs w:val="36"/>
          <w:lang w:val="en-US" w:eastAsia="zh-CN"/>
        </w:rPr>
        <w:t>四、报价方法：</w:t>
      </w:r>
    </w:p>
    <w:p w14:paraId="2026B4B4">
      <w:pPr>
        <w:keepNext w:val="0"/>
        <w:keepLines w:val="0"/>
        <w:pageBreakBefore w:val="0"/>
        <w:numPr>
          <w:ilvl w:val="0"/>
          <w:numId w:val="0"/>
        </w:numPr>
        <w:kinsoku/>
        <w:wordWrap/>
        <w:overflowPunct/>
        <w:topLinePunct w:val="0"/>
        <w:autoSpaceDE/>
        <w:autoSpaceDN/>
        <w:bidi w:val="0"/>
        <w:adjustRightInd/>
        <w:snapToGrid/>
        <w:spacing w:line="480" w:lineRule="exact"/>
        <w:ind w:firstLine="560" w:firstLineChars="200"/>
        <w:textAlignment w:val="auto"/>
        <w:rPr>
          <w:rFonts w:hint="default"/>
          <w:sz w:val="28"/>
          <w:szCs w:val="36"/>
          <w:lang w:val="en-US" w:eastAsia="zh-CN"/>
        </w:rPr>
      </w:pPr>
      <w:r>
        <w:rPr>
          <w:rFonts w:hint="eastAsia"/>
          <w:sz w:val="28"/>
          <w:szCs w:val="36"/>
          <w:lang w:val="en-US" w:eastAsia="zh-CN"/>
        </w:rPr>
        <w:t>投标方应现场看货，标的物位于张家港联合铜业有限公司废镁砖堆场1#堆池（见附图），对标的物按单价形式报价（X元/吨，报价含税，税率13%）；</w:t>
      </w:r>
    </w:p>
    <w:p w14:paraId="48079610">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eastAsia"/>
          <w:b/>
          <w:bCs/>
          <w:sz w:val="28"/>
          <w:szCs w:val="36"/>
          <w:lang w:val="en-US" w:eastAsia="zh-CN"/>
        </w:rPr>
      </w:pPr>
      <w:r>
        <w:rPr>
          <w:rFonts w:hint="eastAsia"/>
          <w:b/>
          <w:bCs/>
          <w:sz w:val="28"/>
          <w:szCs w:val="36"/>
          <w:lang w:val="en-US" w:eastAsia="zh-CN"/>
        </w:rPr>
        <w:t>五、地点：</w:t>
      </w:r>
    </w:p>
    <w:p w14:paraId="0A45F482">
      <w:pPr>
        <w:numPr>
          <w:ilvl w:val="0"/>
          <w:numId w:val="0"/>
        </w:numPr>
        <w:ind w:firstLine="560" w:firstLineChars="200"/>
        <w:rPr>
          <w:rFonts w:hint="eastAsia"/>
          <w:sz w:val="28"/>
          <w:szCs w:val="36"/>
          <w:lang w:val="en-US" w:eastAsia="zh-CN"/>
        </w:rPr>
      </w:pPr>
      <w:r>
        <w:rPr>
          <w:rFonts w:hint="eastAsia"/>
          <w:sz w:val="28"/>
          <w:szCs w:val="36"/>
          <w:lang w:val="en-US" w:eastAsia="zh-CN"/>
        </w:rPr>
        <w:t>张家港联合铜业有限公司废镁砖堆场1#堆池（见附图）。</w:t>
      </w:r>
    </w:p>
    <w:p w14:paraId="2D0ED388">
      <w:pPr>
        <w:pStyle w:val="2"/>
        <w:rPr>
          <w:rFonts w:hint="eastAsia"/>
          <w:lang w:val="en-US" w:eastAsia="zh-CN"/>
        </w:rPr>
      </w:pPr>
      <w:r>
        <w:rPr>
          <w:rFonts w:hint="eastAsia"/>
          <w:lang w:val="en-US" w:eastAsia="zh-CN"/>
        </w:rPr>
        <w:drawing>
          <wp:inline distT="0" distB="0" distL="114300" distR="114300">
            <wp:extent cx="4832985" cy="2720975"/>
            <wp:effectExtent l="0" t="0" r="5715" b="3175"/>
            <wp:docPr id="1" name="图片 1" descr="20220923_142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0220923_142830"/>
                    <pic:cNvPicPr>
                      <a:picLocks noChangeAspect="1"/>
                    </pic:cNvPicPr>
                  </pic:nvPicPr>
                  <pic:blipFill>
                    <a:blip r:embed="rId4"/>
                    <a:stretch>
                      <a:fillRect/>
                    </a:stretch>
                  </pic:blipFill>
                  <pic:spPr>
                    <a:xfrm>
                      <a:off x="0" y="0"/>
                      <a:ext cx="4832985" cy="2720975"/>
                    </a:xfrm>
                    <a:prstGeom prst="rect">
                      <a:avLst/>
                    </a:prstGeom>
                  </pic:spPr>
                </pic:pic>
              </a:graphicData>
            </a:graphic>
          </wp:inline>
        </w:drawing>
      </w:r>
      <w:r>
        <w:rPr>
          <w:rFonts w:hint="eastAsia"/>
          <w:b/>
          <w:bCs/>
          <w:sz w:val="28"/>
          <w:szCs w:val="36"/>
          <w:lang w:val="en-US" w:eastAsia="zh-CN"/>
        </w:rPr>
        <w:drawing>
          <wp:inline distT="0" distB="0" distL="114300" distR="114300">
            <wp:extent cx="4996180" cy="2813050"/>
            <wp:effectExtent l="0" t="0" r="13970" b="6350"/>
            <wp:docPr id="3" name="图片 3" descr="20220923_142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0220923_142818"/>
                    <pic:cNvPicPr>
                      <a:picLocks noChangeAspect="1"/>
                    </pic:cNvPicPr>
                  </pic:nvPicPr>
                  <pic:blipFill>
                    <a:blip r:embed="rId5"/>
                    <a:stretch>
                      <a:fillRect/>
                    </a:stretch>
                  </pic:blipFill>
                  <pic:spPr>
                    <a:xfrm>
                      <a:off x="0" y="0"/>
                      <a:ext cx="4996180" cy="2813050"/>
                    </a:xfrm>
                    <a:prstGeom prst="rect">
                      <a:avLst/>
                    </a:prstGeom>
                  </pic:spPr>
                </pic:pic>
              </a:graphicData>
            </a:graphic>
          </wp:inline>
        </w:drawing>
      </w:r>
      <w:r>
        <w:rPr>
          <w:rFonts w:hint="eastAsia"/>
          <w:b/>
          <w:bCs/>
          <w:sz w:val="28"/>
          <w:szCs w:val="36"/>
          <w:lang w:val="en-US" w:eastAsia="zh-CN"/>
        </w:rPr>
        <w:drawing>
          <wp:inline distT="0" distB="0" distL="114300" distR="114300">
            <wp:extent cx="5013325" cy="2597785"/>
            <wp:effectExtent l="0" t="0" r="15875" b="12065"/>
            <wp:docPr id="2" name="图片 2" descr="20220923_142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0220923_142838"/>
                    <pic:cNvPicPr>
                      <a:picLocks noChangeAspect="1"/>
                    </pic:cNvPicPr>
                  </pic:nvPicPr>
                  <pic:blipFill>
                    <a:blip r:embed="rId6"/>
                    <a:stretch>
                      <a:fillRect/>
                    </a:stretch>
                  </pic:blipFill>
                  <pic:spPr>
                    <a:xfrm>
                      <a:off x="0" y="0"/>
                      <a:ext cx="5013325" cy="2597785"/>
                    </a:xfrm>
                    <a:prstGeom prst="rect">
                      <a:avLst/>
                    </a:prstGeom>
                  </pic:spPr>
                </pic:pic>
              </a:graphicData>
            </a:graphic>
          </wp:inline>
        </w:drawing>
      </w:r>
    </w:p>
    <w:p w14:paraId="317CBC55">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eastAsia"/>
          <w:b/>
          <w:bCs/>
          <w:sz w:val="28"/>
          <w:szCs w:val="36"/>
          <w:lang w:val="en-US" w:eastAsia="zh-CN"/>
        </w:rPr>
      </w:pPr>
      <w:r>
        <w:rPr>
          <w:rFonts w:hint="eastAsia"/>
          <w:b/>
          <w:bCs/>
          <w:sz w:val="28"/>
          <w:szCs w:val="36"/>
          <w:lang w:val="en-US" w:eastAsia="zh-CN"/>
        </w:rPr>
        <w:t>六、提货要求：</w:t>
      </w:r>
    </w:p>
    <w:p w14:paraId="25C39287">
      <w:pPr>
        <w:keepNext w:val="0"/>
        <w:keepLines w:val="0"/>
        <w:pageBreakBefore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宋体" w:cs="Times New Roman"/>
          <w:kern w:val="2"/>
          <w:sz w:val="28"/>
          <w:szCs w:val="36"/>
          <w:lang w:val="en-US" w:eastAsia="zh-CN" w:bidi="ar-SA"/>
        </w:rPr>
      </w:pPr>
      <w:r>
        <w:rPr>
          <w:rFonts w:hint="eastAsia" w:ascii="Times New Roman" w:hAnsi="Times New Roman" w:eastAsia="宋体" w:cs="Times New Roman"/>
          <w:kern w:val="2"/>
          <w:sz w:val="28"/>
          <w:szCs w:val="36"/>
          <w:lang w:val="en-US" w:eastAsia="zh-CN" w:bidi="ar-SA"/>
        </w:rPr>
        <w:t>1、转移准备：中标方与卖方在签订正式合同后，应将公司基本资料、接收计划、</w:t>
      </w:r>
      <w:r>
        <w:rPr>
          <w:rFonts w:hint="eastAsia" w:cs="Times New Roman"/>
          <w:kern w:val="2"/>
          <w:sz w:val="28"/>
          <w:szCs w:val="36"/>
          <w:lang w:val="en-US" w:eastAsia="zh-CN" w:bidi="ar-SA"/>
        </w:rPr>
        <w:t>固体废物</w:t>
      </w:r>
      <w:r>
        <w:rPr>
          <w:rFonts w:hint="eastAsia" w:ascii="Times New Roman" w:hAnsi="Times New Roman" w:eastAsia="宋体" w:cs="Times New Roman"/>
          <w:kern w:val="2"/>
          <w:sz w:val="28"/>
          <w:szCs w:val="36"/>
          <w:lang w:val="en-US" w:eastAsia="zh-CN" w:bidi="ar-SA"/>
        </w:rPr>
        <w:t>转移资料（与卖方安全环保部对接）、承运公司资质资料等原件盖章交于卖方，卖方收到资料后立即展开转移申报工作。</w:t>
      </w:r>
    </w:p>
    <w:p w14:paraId="658956F5">
      <w:pPr>
        <w:keepNext w:val="0"/>
        <w:keepLines w:val="0"/>
        <w:pageBreakBefore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宋体" w:cs="Times New Roman"/>
          <w:kern w:val="2"/>
          <w:sz w:val="28"/>
          <w:szCs w:val="36"/>
          <w:lang w:val="en-US" w:eastAsia="zh-CN" w:bidi="ar-SA"/>
        </w:rPr>
      </w:pPr>
      <w:r>
        <w:rPr>
          <w:rFonts w:hint="eastAsia" w:ascii="Times New Roman" w:hAnsi="Times New Roman" w:eastAsia="宋体" w:cs="Times New Roman"/>
          <w:kern w:val="2"/>
          <w:sz w:val="28"/>
          <w:szCs w:val="36"/>
          <w:lang w:val="en-US" w:eastAsia="zh-CN" w:bidi="ar-SA"/>
        </w:rPr>
        <w:t>2、提货框架：转移审批程序完成后，中标方按卖方通知执行发货程序，中标方</w:t>
      </w:r>
      <w:r>
        <w:rPr>
          <w:rFonts w:hint="eastAsia" w:cs="Times New Roman"/>
          <w:kern w:val="2"/>
          <w:sz w:val="28"/>
          <w:szCs w:val="36"/>
          <w:lang w:val="en-US" w:eastAsia="zh-CN" w:bidi="ar-SA"/>
        </w:rPr>
        <w:t>应在双方合同签订后30日内</w:t>
      </w:r>
      <w:r>
        <w:rPr>
          <w:rFonts w:hint="eastAsia" w:ascii="Times New Roman" w:hAnsi="Times New Roman" w:eastAsia="宋体" w:cs="Times New Roman"/>
          <w:kern w:val="2"/>
          <w:sz w:val="28"/>
          <w:szCs w:val="36"/>
          <w:lang w:val="en-US" w:eastAsia="zh-CN" w:bidi="ar-SA"/>
        </w:rPr>
        <w:t>完成全部提货；</w:t>
      </w:r>
    </w:p>
    <w:p w14:paraId="50279F69">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right="0" w:firstLine="560" w:firstLineChars="200"/>
        <w:textAlignment w:val="auto"/>
        <w:rPr>
          <w:rFonts w:hint="eastAsia" w:ascii="Times New Roman" w:hAnsi="Times New Roman" w:eastAsia="宋体" w:cs="Times New Roman"/>
          <w:kern w:val="2"/>
          <w:sz w:val="28"/>
          <w:szCs w:val="36"/>
          <w:lang w:val="en-US" w:eastAsia="zh-CN" w:bidi="ar-SA"/>
        </w:rPr>
      </w:pPr>
      <w:r>
        <w:rPr>
          <w:rFonts w:hint="eastAsia" w:ascii="Times New Roman" w:hAnsi="Times New Roman" w:eastAsia="宋体" w:cs="Times New Roman"/>
          <w:kern w:val="2"/>
          <w:sz w:val="28"/>
          <w:szCs w:val="36"/>
          <w:lang w:val="en-US" w:eastAsia="zh-CN" w:bidi="ar-SA"/>
        </w:rPr>
        <w:t>3、运输要求：中标方负责委托第三方有资质的运输单位运输，其工作人员未经卖方批准不得进入卖方非标的物存放的区域且应当遵守卖方有关环保、安全、卫生、5S管理等规章制度，不影响卖方的正常生产经营秩序，进厂运输危废物时，需要主动下车登记后方可进入，且车速不超过5公里/小时。</w:t>
      </w:r>
      <w:r>
        <w:rPr>
          <w:rFonts w:hint="eastAsia" w:cs="Times New Roman"/>
          <w:kern w:val="2"/>
          <w:sz w:val="28"/>
          <w:szCs w:val="36"/>
          <w:lang w:val="en-US" w:eastAsia="zh-CN" w:bidi="ar-SA"/>
        </w:rPr>
        <w:t>标的物</w:t>
      </w:r>
      <w:r>
        <w:rPr>
          <w:rFonts w:hint="eastAsia" w:ascii="Times New Roman" w:hAnsi="Times New Roman" w:eastAsia="宋体" w:cs="Times New Roman"/>
          <w:kern w:val="2"/>
          <w:sz w:val="28"/>
          <w:szCs w:val="36"/>
          <w:lang w:val="en-US" w:eastAsia="zh-CN" w:bidi="ar-SA"/>
        </w:rPr>
        <w:t>出厂前，双方应确认种类与数量并由买方安环部门开具</w:t>
      </w:r>
      <w:r>
        <w:rPr>
          <w:rFonts w:hint="eastAsia" w:cs="Times New Roman"/>
          <w:kern w:val="2"/>
          <w:sz w:val="28"/>
          <w:szCs w:val="36"/>
          <w:lang w:val="en-US" w:eastAsia="zh-CN" w:bidi="ar-SA"/>
        </w:rPr>
        <w:t>相应</w:t>
      </w:r>
      <w:r>
        <w:rPr>
          <w:rFonts w:hint="eastAsia" w:ascii="Times New Roman" w:hAnsi="Times New Roman" w:eastAsia="宋体" w:cs="Times New Roman"/>
          <w:kern w:val="2"/>
          <w:sz w:val="28"/>
          <w:szCs w:val="36"/>
          <w:lang w:val="en-US" w:eastAsia="zh-CN" w:bidi="ar-SA"/>
        </w:rPr>
        <w:t>转移联单，以便跟踪管理，中标方凭卖方的出门证出门，</w:t>
      </w:r>
      <w:r>
        <w:rPr>
          <w:rFonts w:hint="eastAsia" w:cs="Times New Roman"/>
          <w:kern w:val="2"/>
          <w:sz w:val="28"/>
          <w:szCs w:val="36"/>
          <w:lang w:val="en-US" w:eastAsia="zh-CN" w:bidi="ar-SA"/>
        </w:rPr>
        <w:t>标的物</w:t>
      </w:r>
      <w:r>
        <w:rPr>
          <w:rFonts w:hint="eastAsia" w:ascii="Times New Roman" w:hAnsi="Times New Roman" w:eastAsia="宋体" w:cs="Times New Roman"/>
          <w:kern w:val="2"/>
          <w:sz w:val="28"/>
          <w:szCs w:val="36"/>
          <w:lang w:val="en-US" w:eastAsia="zh-CN" w:bidi="ar-SA"/>
        </w:rPr>
        <w:t>到达中标方接收厂区后应及时</w:t>
      </w:r>
      <w:r>
        <w:rPr>
          <w:rFonts w:hint="eastAsia" w:cs="Times New Roman"/>
          <w:kern w:val="2"/>
          <w:sz w:val="28"/>
          <w:szCs w:val="36"/>
          <w:lang w:val="en-US" w:eastAsia="zh-CN" w:bidi="ar-SA"/>
        </w:rPr>
        <w:t>按规范的安全环保手续进行</w:t>
      </w:r>
      <w:r>
        <w:rPr>
          <w:rFonts w:hint="eastAsia" w:ascii="Times New Roman" w:hAnsi="Times New Roman" w:eastAsia="宋体" w:cs="Times New Roman"/>
          <w:kern w:val="2"/>
          <w:sz w:val="28"/>
          <w:szCs w:val="36"/>
          <w:lang w:val="en-US" w:eastAsia="zh-CN" w:bidi="ar-SA"/>
        </w:rPr>
        <w:t>入库。</w:t>
      </w:r>
    </w:p>
    <w:p w14:paraId="334AE357">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right="0" w:firstLine="560" w:firstLineChars="200"/>
        <w:textAlignment w:val="auto"/>
        <w:rPr>
          <w:rFonts w:hint="eastAsia" w:ascii="Times New Roman" w:hAnsi="Times New Roman" w:eastAsia="宋体" w:cs="Times New Roman"/>
          <w:kern w:val="2"/>
          <w:sz w:val="28"/>
          <w:szCs w:val="36"/>
          <w:lang w:val="en-US" w:eastAsia="zh-CN" w:bidi="ar-SA"/>
        </w:rPr>
      </w:pPr>
      <w:r>
        <w:rPr>
          <w:rFonts w:hint="eastAsia" w:ascii="Times New Roman" w:hAnsi="Times New Roman" w:eastAsia="宋体" w:cs="Times New Roman"/>
          <w:kern w:val="2"/>
          <w:sz w:val="28"/>
          <w:szCs w:val="36"/>
          <w:lang w:val="en-US" w:eastAsia="zh-CN" w:bidi="ar-SA"/>
        </w:rPr>
        <w:t>4、环保责任：在</w:t>
      </w:r>
      <w:r>
        <w:rPr>
          <w:rFonts w:hint="eastAsia" w:cs="Times New Roman"/>
          <w:kern w:val="2"/>
          <w:sz w:val="28"/>
          <w:szCs w:val="36"/>
          <w:lang w:val="en-US" w:eastAsia="zh-CN" w:bidi="ar-SA"/>
        </w:rPr>
        <w:t>标的物</w:t>
      </w:r>
      <w:r>
        <w:rPr>
          <w:rFonts w:hint="eastAsia" w:ascii="Times New Roman" w:hAnsi="Times New Roman" w:eastAsia="宋体" w:cs="Times New Roman"/>
          <w:kern w:val="2"/>
          <w:sz w:val="28"/>
          <w:szCs w:val="36"/>
          <w:lang w:val="en-US" w:eastAsia="zh-CN" w:bidi="ar-SA"/>
        </w:rPr>
        <w:t>出厂前发生任何环境污染问题或事故由卖方承担全部责任，在</w:t>
      </w:r>
      <w:r>
        <w:rPr>
          <w:rFonts w:hint="eastAsia" w:cs="Times New Roman"/>
          <w:kern w:val="2"/>
          <w:sz w:val="28"/>
          <w:szCs w:val="36"/>
          <w:lang w:val="en-US" w:eastAsia="zh-CN" w:bidi="ar-SA"/>
        </w:rPr>
        <w:t>标的物</w:t>
      </w:r>
      <w:r>
        <w:rPr>
          <w:rFonts w:hint="eastAsia" w:ascii="Times New Roman" w:hAnsi="Times New Roman" w:eastAsia="宋体" w:cs="Times New Roman"/>
          <w:kern w:val="2"/>
          <w:sz w:val="28"/>
          <w:szCs w:val="36"/>
          <w:lang w:val="en-US" w:eastAsia="zh-CN" w:bidi="ar-SA"/>
        </w:rPr>
        <w:t>出厂后，中标方对其所可能引起的任何环境污染问题或事故承担全部责任。因操作不当而造成整个处理过程中某个环节的任何泄漏与污染，均由中标方负责协调解决，若由此造成卖方损失（包括但不限于因此受政府部门罚款等）的，中标方应负责赔偿。</w:t>
      </w:r>
    </w:p>
    <w:p w14:paraId="1F35B652">
      <w:pPr>
        <w:snapToGrid w:val="0"/>
        <w:spacing w:line="440" w:lineRule="exact"/>
        <w:rPr>
          <w:rFonts w:hint="eastAsia" w:ascii="宋体" w:hAnsi="宋体" w:eastAsia="宋体" w:cs="宋体"/>
          <w:b/>
          <w:bCs/>
          <w:kern w:val="2"/>
          <w:sz w:val="24"/>
          <w:szCs w:val="24"/>
          <w:lang w:val="en-US" w:eastAsia="zh-CN" w:bidi="ar-SA"/>
        </w:rPr>
      </w:pPr>
      <w:r>
        <w:rPr>
          <w:rFonts w:hint="eastAsia"/>
          <w:b/>
          <w:bCs/>
          <w:sz w:val="28"/>
          <w:szCs w:val="36"/>
          <w:lang w:val="en-US" w:eastAsia="zh-CN"/>
        </w:rPr>
        <w:t>七、质检验收</w:t>
      </w:r>
    </w:p>
    <w:p w14:paraId="35454B1C">
      <w:pPr>
        <w:keepNext w:val="0"/>
        <w:keepLines w:val="0"/>
        <w:pageBreakBefore w:val="0"/>
        <w:widowControl w:val="0"/>
        <w:numPr>
          <w:ilvl w:val="0"/>
          <w:numId w:val="0"/>
        </w:numPr>
        <w:kinsoku/>
        <w:wordWrap/>
        <w:overflowPunct/>
        <w:topLinePunct w:val="0"/>
        <w:autoSpaceDE/>
        <w:autoSpaceDN/>
        <w:bidi w:val="0"/>
        <w:adjustRightInd/>
        <w:snapToGrid w:val="0"/>
        <w:spacing w:line="480" w:lineRule="exact"/>
        <w:ind w:leftChars="0" w:firstLine="560" w:firstLineChars="200"/>
        <w:jc w:val="left"/>
        <w:textAlignment w:val="auto"/>
        <w:rPr>
          <w:rFonts w:hint="eastAsia" w:ascii="Times New Roman" w:hAnsi="Times New Roman" w:eastAsia="宋体" w:cs="Times New Roman"/>
          <w:kern w:val="2"/>
          <w:sz w:val="28"/>
          <w:szCs w:val="36"/>
          <w:lang w:val="en-US" w:eastAsia="zh-CN" w:bidi="ar-SA"/>
        </w:rPr>
      </w:pPr>
      <w:r>
        <w:rPr>
          <w:rFonts w:hint="eastAsia" w:ascii="Times New Roman" w:hAnsi="Times New Roman" w:eastAsia="宋体" w:cs="Times New Roman"/>
          <w:kern w:val="2"/>
          <w:sz w:val="28"/>
          <w:szCs w:val="36"/>
          <w:lang w:val="en-US" w:eastAsia="zh-CN" w:bidi="ar-SA"/>
        </w:rPr>
        <w:t>计量以卖方地磅过磅为准，结算重量为</w:t>
      </w:r>
      <w:r>
        <w:rPr>
          <w:rFonts w:hint="eastAsia" w:cs="Times New Roman"/>
          <w:kern w:val="2"/>
          <w:sz w:val="28"/>
          <w:szCs w:val="36"/>
          <w:lang w:val="en-US" w:eastAsia="zh-CN" w:bidi="ar-SA"/>
        </w:rPr>
        <w:t>磅单实际净重量</w:t>
      </w:r>
      <w:r>
        <w:rPr>
          <w:rFonts w:hint="eastAsia" w:ascii="Times New Roman" w:hAnsi="Times New Roman" w:eastAsia="宋体" w:cs="Times New Roman"/>
          <w:kern w:val="2"/>
          <w:sz w:val="28"/>
          <w:szCs w:val="36"/>
          <w:lang w:val="en-US" w:eastAsia="zh-CN" w:bidi="ar-SA"/>
        </w:rPr>
        <w:t>，作为双方结算的依据。买卖双方代表均在场监督，如买方未派代表参加，则视为同意卖方的操作。</w:t>
      </w:r>
    </w:p>
    <w:p w14:paraId="5285FC38">
      <w:pPr>
        <w:spacing w:line="360" w:lineRule="auto"/>
        <w:rPr>
          <w:rFonts w:hint="eastAsia" w:ascii="宋体" w:hAnsi="宋体" w:cs="宋体"/>
          <w:b/>
          <w:bCs/>
          <w:sz w:val="24"/>
        </w:rPr>
      </w:pPr>
      <w:r>
        <w:rPr>
          <w:rFonts w:hint="eastAsia"/>
          <w:b/>
          <w:bCs/>
          <w:sz w:val="28"/>
          <w:szCs w:val="36"/>
          <w:lang w:val="en-US" w:eastAsia="zh-CN"/>
        </w:rPr>
        <w:t>八、履约保证金</w:t>
      </w:r>
    </w:p>
    <w:p w14:paraId="40A6F604">
      <w:pPr>
        <w:keepNext w:val="0"/>
        <w:keepLines w:val="0"/>
        <w:pageBreakBefore w:val="0"/>
        <w:widowControl w:val="0"/>
        <w:numPr>
          <w:ilvl w:val="0"/>
          <w:numId w:val="0"/>
        </w:numPr>
        <w:kinsoku/>
        <w:wordWrap/>
        <w:overflowPunct/>
        <w:topLinePunct w:val="0"/>
        <w:autoSpaceDE/>
        <w:autoSpaceDN/>
        <w:bidi w:val="0"/>
        <w:adjustRightInd/>
        <w:snapToGrid w:val="0"/>
        <w:spacing w:line="480" w:lineRule="exact"/>
        <w:ind w:leftChars="0" w:firstLine="560" w:firstLineChars="200"/>
        <w:textAlignment w:val="auto"/>
        <w:rPr>
          <w:rFonts w:hint="eastAsia" w:cs="Times New Roman"/>
          <w:kern w:val="2"/>
          <w:sz w:val="28"/>
          <w:szCs w:val="36"/>
          <w:lang w:val="en-US" w:eastAsia="zh-CN" w:bidi="ar-SA"/>
        </w:rPr>
      </w:pPr>
      <w:r>
        <w:rPr>
          <w:rFonts w:hint="eastAsia" w:ascii="Times New Roman" w:hAnsi="Times New Roman" w:eastAsia="宋体" w:cs="Times New Roman"/>
          <w:kern w:val="2"/>
          <w:sz w:val="28"/>
          <w:szCs w:val="36"/>
          <w:lang w:val="en-US" w:eastAsia="zh-CN" w:bidi="ar-SA"/>
        </w:rPr>
        <w:t>中标方须向张家港联合铜业有限公司缴纳人民币</w:t>
      </w:r>
      <w:r>
        <w:rPr>
          <w:rFonts w:hint="eastAsia" w:cs="Times New Roman"/>
          <w:kern w:val="2"/>
          <w:sz w:val="28"/>
          <w:szCs w:val="36"/>
          <w:lang w:val="en-US" w:eastAsia="zh-CN" w:bidi="ar-SA"/>
        </w:rPr>
        <w:t>壹</w:t>
      </w:r>
      <w:r>
        <w:rPr>
          <w:rFonts w:hint="eastAsia" w:ascii="Times New Roman" w:hAnsi="Times New Roman" w:eastAsia="宋体" w:cs="Times New Roman"/>
          <w:kern w:val="2"/>
          <w:sz w:val="28"/>
          <w:szCs w:val="36"/>
          <w:lang w:val="en-US" w:eastAsia="zh-CN" w:bidi="ar-SA"/>
        </w:rPr>
        <w:t>万元(¥</w:t>
      </w:r>
      <w:r>
        <w:rPr>
          <w:rFonts w:hint="eastAsia" w:cs="Times New Roman"/>
          <w:kern w:val="2"/>
          <w:sz w:val="28"/>
          <w:szCs w:val="36"/>
          <w:lang w:val="en-US" w:eastAsia="zh-CN" w:bidi="ar-SA"/>
        </w:rPr>
        <w:t>1</w:t>
      </w:r>
      <w:r>
        <w:rPr>
          <w:rFonts w:hint="eastAsia" w:ascii="Times New Roman" w:hAnsi="Times New Roman" w:eastAsia="宋体" w:cs="Times New Roman"/>
          <w:kern w:val="2"/>
          <w:sz w:val="28"/>
          <w:szCs w:val="36"/>
          <w:lang w:val="en-US" w:eastAsia="zh-CN" w:bidi="ar-SA"/>
        </w:rPr>
        <w:t>0,000.00）作为</w:t>
      </w:r>
      <w:r>
        <w:rPr>
          <w:rFonts w:hint="eastAsia" w:cs="Times New Roman"/>
          <w:kern w:val="2"/>
          <w:sz w:val="28"/>
          <w:szCs w:val="36"/>
          <w:lang w:val="en-US" w:eastAsia="zh-CN" w:bidi="ar-SA"/>
        </w:rPr>
        <w:t>履约</w:t>
      </w:r>
      <w:r>
        <w:rPr>
          <w:rFonts w:hint="eastAsia" w:ascii="Times New Roman" w:hAnsi="Times New Roman" w:eastAsia="宋体" w:cs="Times New Roman"/>
          <w:kern w:val="2"/>
          <w:sz w:val="28"/>
          <w:szCs w:val="36"/>
          <w:lang w:val="en-US" w:eastAsia="zh-CN" w:bidi="ar-SA"/>
        </w:rPr>
        <w:t>保证金</w:t>
      </w:r>
      <w:r>
        <w:rPr>
          <w:rFonts w:hint="eastAsia" w:cs="Times New Roman"/>
          <w:kern w:val="2"/>
          <w:sz w:val="28"/>
          <w:szCs w:val="36"/>
          <w:lang w:val="en-US" w:eastAsia="zh-CN" w:bidi="ar-SA"/>
        </w:rPr>
        <w:t>。</w:t>
      </w:r>
    </w:p>
    <w:p w14:paraId="25A6000D">
      <w:pPr>
        <w:spacing w:line="360" w:lineRule="auto"/>
        <w:rPr>
          <w:rFonts w:hint="eastAsia"/>
          <w:b/>
          <w:bCs/>
          <w:sz w:val="28"/>
          <w:szCs w:val="36"/>
          <w:lang w:val="en-US" w:eastAsia="zh-CN"/>
        </w:rPr>
      </w:pPr>
      <w:r>
        <w:rPr>
          <w:rFonts w:hint="eastAsia"/>
          <w:b/>
          <w:bCs/>
          <w:sz w:val="28"/>
          <w:szCs w:val="36"/>
          <w:lang w:val="en-US" w:eastAsia="zh-CN"/>
        </w:rPr>
        <w:t>九、违约责任</w:t>
      </w:r>
    </w:p>
    <w:p w14:paraId="6C12FA81">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560" w:firstLineChars="200"/>
        <w:textAlignment w:val="auto"/>
        <w:rPr>
          <w:rFonts w:hint="eastAsia" w:ascii="Times New Roman" w:hAnsi="Times New Roman" w:eastAsia="宋体" w:cs="Times New Roman"/>
          <w:b w:val="0"/>
          <w:bCs w:val="0"/>
          <w:kern w:val="2"/>
          <w:sz w:val="28"/>
          <w:szCs w:val="36"/>
          <w:lang w:val="en-US" w:eastAsia="zh-CN" w:bidi="ar-SA"/>
        </w:rPr>
      </w:pPr>
      <w:r>
        <w:rPr>
          <w:rFonts w:hint="eastAsia" w:ascii="Times New Roman" w:hAnsi="Times New Roman" w:eastAsia="宋体" w:cs="Times New Roman"/>
          <w:b w:val="0"/>
          <w:bCs w:val="0"/>
          <w:kern w:val="2"/>
          <w:sz w:val="28"/>
          <w:szCs w:val="36"/>
          <w:lang w:val="en-US" w:eastAsia="zh-CN" w:bidi="ar-SA"/>
        </w:rPr>
        <w:t>1、在甲方厂区内，若因甲方的过失，造成乙方财产受损或乙方人员伤害时，甲方应负全部责任。若因乙方的过失，造成甲方财产受损或甲方人员伤害时，乙方应负全部责任。</w:t>
      </w:r>
    </w:p>
    <w:p w14:paraId="5FB33EE4">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560" w:firstLineChars="200"/>
        <w:textAlignment w:val="auto"/>
        <w:rPr>
          <w:rFonts w:hint="eastAsia" w:ascii="Times New Roman" w:hAnsi="Times New Roman" w:eastAsia="宋体" w:cs="Times New Roman"/>
          <w:b w:val="0"/>
          <w:bCs w:val="0"/>
          <w:kern w:val="2"/>
          <w:sz w:val="28"/>
          <w:szCs w:val="36"/>
          <w:lang w:val="en-US" w:eastAsia="zh-CN" w:bidi="ar-SA"/>
        </w:rPr>
      </w:pPr>
      <w:r>
        <w:rPr>
          <w:rFonts w:hint="eastAsia" w:ascii="Times New Roman" w:hAnsi="Times New Roman" w:eastAsia="宋体" w:cs="Times New Roman"/>
          <w:b w:val="0"/>
          <w:bCs w:val="0"/>
          <w:kern w:val="2"/>
          <w:sz w:val="28"/>
          <w:szCs w:val="36"/>
          <w:lang w:val="en-US" w:eastAsia="zh-CN" w:bidi="ar-SA"/>
        </w:rPr>
        <w:t>2、乙方或乙方的工作人员给甲方或甲方的雇员或其他任何第三方造成人身损害或财产损失的，乙方应负责赔偿，甲方有权从应支付给乙方的款项中直接扣除相应赔偿金。</w:t>
      </w:r>
    </w:p>
    <w:p w14:paraId="690E2B3A">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560" w:firstLineChars="200"/>
        <w:textAlignment w:val="auto"/>
        <w:rPr>
          <w:rFonts w:hint="eastAsia" w:ascii="Times New Roman" w:hAnsi="Times New Roman" w:eastAsia="宋体" w:cs="Times New Roman"/>
          <w:b w:val="0"/>
          <w:bCs w:val="0"/>
          <w:kern w:val="2"/>
          <w:sz w:val="28"/>
          <w:szCs w:val="36"/>
          <w:lang w:val="en-US" w:eastAsia="zh-CN" w:bidi="ar-SA"/>
        </w:rPr>
      </w:pPr>
      <w:r>
        <w:rPr>
          <w:rFonts w:hint="eastAsia" w:ascii="Times New Roman" w:hAnsi="Times New Roman" w:eastAsia="宋体" w:cs="Times New Roman"/>
          <w:b w:val="0"/>
          <w:bCs w:val="0"/>
          <w:kern w:val="2"/>
          <w:sz w:val="28"/>
          <w:szCs w:val="36"/>
          <w:lang w:val="en-US" w:eastAsia="zh-CN" w:bidi="ar-SA"/>
        </w:rPr>
        <w:t>3、乙方保证废弃物因操作不当而造成整个处理过程中某个环节的任何泄漏与污染，均由乙方负责协调解决，若由此造成甲方损失（包括但不限于因此受政府部门罚款等）的，乙方应负责赔偿。</w:t>
      </w:r>
    </w:p>
    <w:p w14:paraId="295EAD5B">
      <w:pPr>
        <w:rPr>
          <w:rFonts w:hint="eastAsia" w:ascii="Times New Roman" w:hAnsi="Times New Roman" w:eastAsia="宋体" w:cs="Times New Roman"/>
          <w:b w:val="0"/>
          <w:bCs w:val="0"/>
          <w:kern w:val="2"/>
          <w:sz w:val="28"/>
          <w:szCs w:val="36"/>
          <w:lang w:val="en-US" w:eastAsia="zh-CN" w:bidi="ar-SA"/>
        </w:rPr>
      </w:pPr>
      <w:r>
        <w:rPr>
          <w:rFonts w:hint="eastAsia" w:ascii="Times New Roman" w:hAnsi="Times New Roman" w:eastAsia="宋体" w:cs="Times New Roman"/>
          <w:b w:val="0"/>
          <w:bCs w:val="0"/>
          <w:kern w:val="2"/>
          <w:sz w:val="28"/>
          <w:szCs w:val="36"/>
          <w:lang w:val="en-US" w:eastAsia="zh-CN" w:bidi="ar-SA"/>
        </w:rPr>
        <w:t>4、如因中标方原因在中标当年内未能完成转移或提货，张家港联合铜业有限公司有权没收履约保证金。</w:t>
      </w:r>
    </w:p>
    <w:p w14:paraId="6CB93FE3">
      <w:pPr>
        <w:spacing w:line="360" w:lineRule="auto"/>
        <w:rPr>
          <w:rFonts w:hint="eastAsia"/>
          <w:b/>
          <w:bCs/>
          <w:sz w:val="28"/>
          <w:szCs w:val="36"/>
          <w:lang w:val="en-US" w:eastAsia="zh-CN"/>
        </w:rPr>
      </w:pPr>
      <w:r>
        <w:rPr>
          <w:rFonts w:hint="eastAsia"/>
          <w:b/>
          <w:bCs/>
          <w:sz w:val="28"/>
          <w:szCs w:val="36"/>
          <w:lang w:val="en-US" w:eastAsia="zh-CN"/>
        </w:rPr>
        <w:t>十、其他</w:t>
      </w:r>
    </w:p>
    <w:p w14:paraId="76A6EC1E">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560" w:firstLineChars="200"/>
        <w:textAlignment w:val="auto"/>
        <w:rPr>
          <w:rFonts w:hint="eastAsia" w:ascii="Times New Roman" w:hAnsi="Times New Roman" w:eastAsia="宋体" w:cs="Times New Roman"/>
          <w:b w:val="0"/>
          <w:bCs w:val="0"/>
          <w:kern w:val="2"/>
          <w:sz w:val="28"/>
          <w:szCs w:val="36"/>
          <w:lang w:val="en-US" w:eastAsia="zh-CN" w:bidi="ar-SA"/>
        </w:rPr>
      </w:pPr>
      <w:r>
        <w:rPr>
          <w:rFonts w:hint="eastAsia" w:ascii="Times New Roman" w:hAnsi="Times New Roman" w:eastAsia="宋体" w:cs="Times New Roman"/>
          <w:b w:val="0"/>
          <w:bCs w:val="0"/>
          <w:kern w:val="2"/>
          <w:sz w:val="28"/>
          <w:szCs w:val="36"/>
          <w:lang w:val="en-US" w:eastAsia="zh-CN" w:bidi="ar-SA"/>
        </w:rPr>
        <w:t>1、本次</w:t>
      </w:r>
      <w:r>
        <w:rPr>
          <w:rFonts w:hint="eastAsia" w:ascii="Times New Roman" w:hAnsi="Times New Roman" w:cs="Times New Roman"/>
          <w:b w:val="0"/>
          <w:bCs w:val="0"/>
          <w:kern w:val="2"/>
          <w:sz w:val="28"/>
          <w:szCs w:val="36"/>
          <w:lang w:val="en-US" w:eastAsia="zh-CN" w:bidi="ar-SA"/>
        </w:rPr>
        <w:t>竞价</w:t>
      </w:r>
      <w:r>
        <w:rPr>
          <w:rFonts w:hint="eastAsia" w:ascii="Times New Roman" w:hAnsi="Times New Roman" w:eastAsia="宋体" w:cs="Times New Roman"/>
          <w:b w:val="0"/>
          <w:bCs w:val="0"/>
          <w:kern w:val="2"/>
          <w:sz w:val="28"/>
          <w:szCs w:val="36"/>
          <w:lang w:val="en-US" w:eastAsia="zh-CN" w:bidi="ar-SA"/>
        </w:rPr>
        <w:t>设有标底。</w:t>
      </w:r>
    </w:p>
    <w:p w14:paraId="1E90EDF9">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560" w:firstLineChars="200"/>
        <w:textAlignment w:val="auto"/>
        <w:rPr>
          <w:rFonts w:hint="eastAsia" w:ascii="Times New Roman" w:hAnsi="Times New Roman" w:eastAsia="宋体" w:cs="Times New Roman"/>
          <w:b w:val="0"/>
          <w:bCs w:val="0"/>
          <w:kern w:val="2"/>
          <w:sz w:val="28"/>
          <w:szCs w:val="36"/>
          <w:lang w:val="en-US" w:eastAsia="zh-CN" w:bidi="ar-SA"/>
        </w:rPr>
      </w:pPr>
      <w:r>
        <w:rPr>
          <w:rFonts w:hint="eastAsia" w:ascii="Times New Roman" w:hAnsi="Times New Roman" w:eastAsia="宋体" w:cs="Times New Roman"/>
          <w:b w:val="0"/>
          <w:bCs w:val="0"/>
          <w:kern w:val="2"/>
          <w:sz w:val="28"/>
          <w:szCs w:val="36"/>
          <w:lang w:val="en-US" w:eastAsia="zh-CN" w:bidi="ar-SA"/>
        </w:rPr>
        <w:t>2、评标委员会将推荐满足本</w:t>
      </w:r>
      <w:r>
        <w:rPr>
          <w:rFonts w:hint="eastAsia" w:ascii="Times New Roman" w:hAnsi="Times New Roman" w:cs="Times New Roman"/>
          <w:b w:val="0"/>
          <w:bCs w:val="0"/>
          <w:kern w:val="2"/>
          <w:sz w:val="28"/>
          <w:szCs w:val="36"/>
          <w:lang w:val="en-US" w:eastAsia="zh-CN" w:bidi="ar-SA"/>
        </w:rPr>
        <w:t>竞价</w:t>
      </w:r>
      <w:r>
        <w:rPr>
          <w:rFonts w:hint="eastAsia" w:ascii="Times New Roman" w:hAnsi="Times New Roman" w:eastAsia="宋体" w:cs="Times New Roman"/>
          <w:b w:val="0"/>
          <w:bCs w:val="0"/>
          <w:kern w:val="2"/>
          <w:sz w:val="28"/>
          <w:szCs w:val="36"/>
          <w:lang w:val="en-US" w:eastAsia="zh-CN" w:bidi="ar-SA"/>
        </w:rPr>
        <w:t>文件要求，本次招标项目最多接收1家中标；</w:t>
      </w:r>
    </w:p>
    <w:p w14:paraId="750F8ECC">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560" w:firstLineChars="200"/>
        <w:textAlignment w:val="auto"/>
        <w:rPr>
          <w:rFonts w:hint="eastAsia" w:ascii="Times New Roman" w:hAnsi="Times New Roman" w:eastAsia="宋体" w:cs="Times New Roman"/>
          <w:b w:val="0"/>
          <w:bCs w:val="0"/>
          <w:kern w:val="2"/>
          <w:sz w:val="28"/>
          <w:szCs w:val="36"/>
          <w:lang w:val="en-US" w:eastAsia="zh-CN" w:bidi="ar-SA"/>
        </w:rPr>
      </w:pPr>
      <w:r>
        <w:rPr>
          <w:rFonts w:hint="eastAsia" w:ascii="Times New Roman" w:hAnsi="Times New Roman" w:eastAsia="宋体" w:cs="Times New Roman"/>
          <w:b w:val="0"/>
          <w:bCs w:val="0"/>
          <w:kern w:val="2"/>
          <w:sz w:val="28"/>
          <w:szCs w:val="36"/>
          <w:lang w:val="en-US" w:eastAsia="zh-CN" w:bidi="ar-SA"/>
        </w:rPr>
        <w:t>3、评标办法：本次</w:t>
      </w:r>
      <w:r>
        <w:rPr>
          <w:rFonts w:hint="eastAsia" w:ascii="Times New Roman" w:hAnsi="Times New Roman" w:cs="Times New Roman"/>
          <w:b w:val="0"/>
          <w:bCs w:val="0"/>
          <w:kern w:val="2"/>
          <w:sz w:val="28"/>
          <w:szCs w:val="36"/>
          <w:lang w:val="en-US" w:eastAsia="zh-CN" w:bidi="ar-SA"/>
        </w:rPr>
        <w:t>竞价</w:t>
      </w:r>
      <w:r>
        <w:rPr>
          <w:rFonts w:hint="eastAsia" w:ascii="Times New Roman" w:hAnsi="Times New Roman" w:eastAsia="宋体" w:cs="Times New Roman"/>
          <w:b w:val="0"/>
          <w:bCs w:val="0"/>
          <w:kern w:val="2"/>
          <w:sz w:val="28"/>
          <w:szCs w:val="36"/>
          <w:lang w:val="en-US" w:eastAsia="zh-CN" w:bidi="ar-SA"/>
        </w:rPr>
        <w:t>项目，报价总价最高者得；</w:t>
      </w:r>
    </w:p>
    <w:p w14:paraId="28253A38">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560" w:firstLineChars="200"/>
        <w:textAlignment w:val="auto"/>
        <w:rPr>
          <w:rFonts w:hint="eastAsia" w:ascii="Times New Roman" w:hAnsi="Times New Roman" w:eastAsia="宋体" w:cs="Times New Roman"/>
          <w:b w:val="0"/>
          <w:bCs w:val="0"/>
          <w:kern w:val="2"/>
          <w:sz w:val="28"/>
          <w:szCs w:val="36"/>
          <w:lang w:val="en-US" w:eastAsia="zh-CN" w:bidi="ar-SA"/>
        </w:rPr>
      </w:pPr>
      <w:r>
        <w:rPr>
          <w:rFonts w:hint="eastAsia" w:ascii="Times New Roman" w:hAnsi="Times New Roman" w:eastAsia="宋体" w:cs="Times New Roman"/>
          <w:b w:val="0"/>
          <w:bCs w:val="0"/>
          <w:kern w:val="2"/>
          <w:sz w:val="28"/>
          <w:szCs w:val="36"/>
          <w:lang w:val="en-US" w:eastAsia="zh-CN" w:bidi="ar-SA"/>
        </w:rPr>
        <w:t>4、本次招标量为张家港联合铜业有限公司预估</w:t>
      </w:r>
      <w:r>
        <w:rPr>
          <w:rFonts w:hint="eastAsia" w:ascii="Times New Roman" w:hAnsi="Times New Roman" w:cs="Times New Roman"/>
          <w:b w:val="0"/>
          <w:bCs w:val="0"/>
          <w:kern w:val="2"/>
          <w:sz w:val="28"/>
          <w:szCs w:val="36"/>
          <w:lang w:val="en-US" w:eastAsia="zh-CN" w:bidi="ar-SA"/>
        </w:rPr>
        <w:t>量</w:t>
      </w:r>
      <w:r>
        <w:rPr>
          <w:rFonts w:hint="eastAsia" w:ascii="Times New Roman" w:hAnsi="Times New Roman" w:eastAsia="宋体" w:cs="Times New Roman"/>
          <w:b w:val="0"/>
          <w:bCs w:val="0"/>
          <w:kern w:val="2"/>
          <w:sz w:val="28"/>
          <w:szCs w:val="36"/>
          <w:lang w:val="en-US" w:eastAsia="zh-CN" w:bidi="ar-SA"/>
        </w:rPr>
        <w:t>，不作为最终实际执行量。实际执行量按张家港联合铜业有限公司实际供应量执行，报价总价仅作为参考并不作为实际合同签订时的实际成交数据。</w:t>
      </w:r>
    </w:p>
    <w:p w14:paraId="01D450E7">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560" w:firstLineChars="200"/>
        <w:textAlignment w:val="auto"/>
        <w:rPr>
          <w:rFonts w:hint="eastAsia" w:ascii="Times New Roman" w:hAnsi="Times New Roman" w:eastAsia="宋体" w:cs="Times New Roman"/>
          <w:b w:val="0"/>
          <w:bCs w:val="0"/>
          <w:kern w:val="2"/>
          <w:sz w:val="28"/>
          <w:szCs w:val="36"/>
          <w:lang w:val="en-US" w:eastAsia="zh-CN" w:bidi="ar-SA"/>
        </w:rPr>
      </w:pPr>
      <w:r>
        <w:rPr>
          <w:rFonts w:hint="eastAsia" w:ascii="Times New Roman" w:hAnsi="Times New Roman" w:eastAsia="宋体" w:cs="Times New Roman"/>
          <w:b w:val="0"/>
          <w:bCs w:val="0"/>
          <w:kern w:val="2"/>
          <w:sz w:val="28"/>
          <w:szCs w:val="36"/>
          <w:lang w:val="en-US" w:eastAsia="zh-CN" w:bidi="ar-SA"/>
        </w:rPr>
        <w:t>5、本次招标项目标的物为一般固体废物，投标方应清楚理解该类物资严格受国家环保政策限制，招投标及合同执行期间可能因国家政策调整而发生不可逆的变化，张家港联合铜业有限公司不承担任何因此产生的任何损失。</w:t>
      </w:r>
    </w:p>
    <w:p w14:paraId="3021E0A8">
      <w:pPr>
        <w:shd w:val="clear" w:color="auto" w:fill="FFFFFF"/>
        <w:spacing w:line="400" w:lineRule="atLeast"/>
        <w:jc w:val="left"/>
        <w:rPr>
          <w:rFonts w:hint="eastAsia" w:ascii="宋体" w:hAnsi="宋体"/>
          <w:b/>
          <w:bCs/>
          <w:sz w:val="28"/>
          <w:szCs w:val="28"/>
        </w:rPr>
      </w:pPr>
      <w:r>
        <w:rPr>
          <w:rFonts w:hint="eastAsia" w:ascii="宋体" w:hAnsi="宋体"/>
          <w:b/>
          <w:bCs/>
          <w:sz w:val="28"/>
          <w:szCs w:val="28"/>
          <w:lang w:val="en-US" w:eastAsia="zh-CN"/>
        </w:rPr>
        <w:t>十一</w:t>
      </w:r>
      <w:r>
        <w:rPr>
          <w:rFonts w:hint="eastAsia" w:ascii="宋体" w:hAnsi="宋体"/>
          <w:b/>
          <w:bCs/>
          <w:sz w:val="28"/>
          <w:szCs w:val="28"/>
        </w:rPr>
        <w:t>、中标人确定</w:t>
      </w:r>
    </w:p>
    <w:p w14:paraId="4EF3A483">
      <w:pPr>
        <w:spacing w:line="360" w:lineRule="auto"/>
        <w:ind w:firstLine="720" w:firstLineChars="300"/>
        <w:rPr>
          <w:rFonts w:hint="eastAsia" w:eastAsia="宋体"/>
          <w:color w:val="FF0000"/>
          <w:sz w:val="24"/>
          <w:lang w:eastAsia="zh-CN"/>
        </w:rPr>
      </w:pPr>
      <w:r>
        <w:rPr>
          <w:rFonts w:hint="eastAsia" w:ascii="宋体" w:hAnsi="宋体"/>
          <w:color w:val="FF0000"/>
          <w:sz w:val="24"/>
        </w:rPr>
        <w:t>以报价最</w:t>
      </w:r>
      <w:r>
        <w:rPr>
          <w:rFonts w:hint="eastAsia" w:ascii="宋体" w:hAnsi="宋体"/>
          <w:color w:val="FF0000"/>
          <w:sz w:val="24"/>
          <w:lang w:val="en-US" w:eastAsia="zh-CN"/>
        </w:rPr>
        <w:t>高价为</w:t>
      </w:r>
      <w:r>
        <w:rPr>
          <w:rFonts w:hint="eastAsia" w:ascii="宋体" w:hAnsi="宋体"/>
          <w:color w:val="FF0000"/>
          <w:sz w:val="24"/>
        </w:rPr>
        <w:t>中标人</w:t>
      </w:r>
      <w:r>
        <w:rPr>
          <w:rFonts w:hint="eastAsia" w:ascii="宋体" w:hAnsi="宋体"/>
          <w:color w:val="FF0000"/>
          <w:sz w:val="24"/>
          <w:lang w:eastAsia="zh-CN"/>
        </w:rPr>
        <w:t>。</w:t>
      </w:r>
    </w:p>
    <w:p w14:paraId="171BC160">
      <w:pPr>
        <w:spacing w:line="360" w:lineRule="auto"/>
        <w:rPr>
          <w:rFonts w:hint="eastAsia"/>
          <w:b/>
          <w:sz w:val="24"/>
          <w:lang w:val="en-US" w:eastAsia="zh-CN"/>
        </w:rPr>
      </w:pPr>
    </w:p>
    <w:p w14:paraId="0BB69600">
      <w:pPr>
        <w:spacing w:line="360" w:lineRule="auto"/>
        <w:rPr>
          <w:rFonts w:ascii="宋体" w:hAnsi="宋体" w:cs="宋体"/>
          <w:color w:val="000000"/>
          <w:sz w:val="28"/>
          <w:szCs w:val="28"/>
        </w:rPr>
      </w:pPr>
      <w:r>
        <w:rPr>
          <w:rFonts w:hint="eastAsia"/>
          <w:b/>
          <w:sz w:val="24"/>
          <w:lang w:val="en-US" w:eastAsia="zh-CN"/>
        </w:rPr>
        <w:t>十二</w:t>
      </w:r>
      <w:r>
        <w:rPr>
          <w:rFonts w:hint="eastAsia"/>
          <w:b/>
          <w:sz w:val="24"/>
        </w:rPr>
        <w:t>、投标截止时间</w:t>
      </w:r>
    </w:p>
    <w:p w14:paraId="0971B200">
      <w:pPr>
        <w:spacing w:line="360" w:lineRule="auto"/>
        <w:ind w:firstLine="480" w:firstLineChars="200"/>
        <w:rPr>
          <w:rFonts w:hint="eastAsia"/>
          <w:bCs/>
          <w:sz w:val="24"/>
        </w:rPr>
      </w:pPr>
      <w:r>
        <w:rPr>
          <w:rFonts w:hint="eastAsia"/>
          <w:bCs/>
          <w:color w:val="FF0000"/>
          <w:sz w:val="24"/>
        </w:rPr>
        <w:t>20</w:t>
      </w:r>
      <w:r>
        <w:rPr>
          <w:rFonts w:hint="eastAsia"/>
          <w:bCs/>
          <w:color w:val="FF0000"/>
          <w:sz w:val="24"/>
          <w:lang w:val="en-US" w:eastAsia="zh-CN"/>
        </w:rPr>
        <w:t>22</w:t>
      </w:r>
      <w:r>
        <w:rPr>
          <w:rFonts w:hint="eastAsia"/>
          <w:bCs/>
          <w:color w:val="FF0000"/>
          <w:sz w:val="24"/>
        </w:rPr>
        <w:t>年</w:t>
      </w:r>
      <w:r>
        <w:rPr>
          <w:rFonts w:hint="eastAsia"/>
          <w:bCs/>
          <w:color w:val="FF0000"/>
          <w:sz w:val="24"/>
          <w:lang w:val="en-US" w:eastAsia="zh-CN"/>
        </w:rPr>
        <w:t>10</w:t>
      </w:r>
      <w:bookmarkStart w:id="0" w:name="_GoBack"/>
      <w:bookmarkEnd w:id="0"/>
      <w:r>
        <w:rPr>
          <w:rFonts w:hint="eastAsia"/>
          <w:bCs/>
          <w:color w:val="FF0000"/>
          <w:sz w:val="24"/>
        </w:rPr>
        <w:t>月</w:t>
      </w:r>
      <w:r>
        <w:rPr>
          <w:rFonts w:hint="eastAsia"/>
          <w:bCs/>
          <w:color w:val="FF0000"/>
          <w:sz w:val="24"/>
          <w:lang w:val="en-US" w:eastAsia="zh-CN"/>
        </w:rPr>
        <w:t>5</w:t>
      </w:r>
      <w:r>
        <w:rPr>
          <w:rFonts w:hint="eastAsia"/>
          <w:bCs/>
          <w:color w:val="FF0000"/>
          <w:sz w:val="24"/>
        </w:rPr>
        <w:t>日</w:t>
      </w:r>
      <w:r>
        <w:rPr>
          <w:rFonts w:hint="eastAsia"/>
          <w:bCs/>
          <w:color w:val="FF0000"/>
          <w:sz w:val="24"/>
          <w:lang w:val="en-US" w:eastAsia="zh-CN"/>
        </w:rPr>
        <w:t>10：00</w:t>
      </w:r>
      <w:r>
        <w:rPr>
          <w:rFonts w:hint="eastAsia"/>
          <w:bCs/>
          <w:color w:val="FF0000"/>
          <w:sz w:val="24"/>
        </w:rPr>
        <w:t xml:space="preserve"> 时</w:t>
      </w:r>
      <w:r>
        <w:rPr>
          <w:rFonts w:hint="eastAsia"/>
          <w:bCs/>
          <w:sz w:val="24"/>
        </w:rPr>
        <w:t>，</w:t>
      </w:r>
      <w:r>
        <w:rPr>
          <w:rFonts w:hint="eastAsia"/>
          <w:sz w:val="24"/>
        </w:rPr>
        <w:t>逾期送达或未送达指定地点的投标文件不予受理。</w:t>
      </w:r>
    </w:p>
    <w:p w14:paraId="3020E42A">
      <w:pPr>
        <w:spacing w:line="360" w:lineRule="auto"/>
        <w:rPr>
          <w:rFonts w:hint="eastAsia" w:ascii="宋体" w:hAnsi="宋体" w:cs="宋体"/>
          <w:color w:val="000000"/>
          <w:sz w:val="28"/>
          <w:szCs w:val="28"/>
        </w:rPr>
      </w:pPr>
      <w:r>
        <w:rPr>
          <w:rFonts w:hint="eastAsia" w:ascii="宋体" w:hAnsi="宋体" w:cs="宋体"/>
          <w:b/>
          <w:color w:val="000000"/>
          <w:sz w:val="28"/>
          <w:szCs w:val="28"/>
          <w:lang w:val="en-US" w:eastAsia="zh-CN"/>
        </w:rPr>
        <w:t>十三</w:t>
      </w:r>
      <w:r>
        <w:rPr>
          <w:rFonts w:hint="eastAsia" w:ascii="宋体" w:hAnsi="宋体" w:cs="宋体"/>
          <w:b/>
          <w:color w:val="000000"/>
          <w:sz w:val="28"/>
          <w:szCs w:val="28"/>
        </w:rPr>
        <w:t>、投标文件接收单位及联系人</w:t>
      </w:r>
      <w:r>
        <w:rPr>
          <w:rFonts w:hint="eastAsia" w:ascii="宋体" w:hAnsi="宋体" w:cs="宋体"/>
          <w:color w:val="000000"/>
          <w:sz w:val="28"/>
          <w:szCs w:val="28"/>
        </w:rPr>
        <w:t>：</w:t>
      </w:r>
    </w:p>
    <w:p w14:paraId="09024041">
      <w:pPr>
        <w:spacing w:line="360" w:lineRule="auto"/>
        <w:ind w:left="479" w:leftChars="228"/>
        <w:rPr>
          <w:rFonts w:hint="eastAsia"/>
          <w:sz w:val="24"/>
        </w:rPr>
      </w:pPr>
      <w:r>
        <w:rPr>
          <w:rFonts w:hint="eastAsia"/>
          <w:sz w:val="24"/>
        </w:rPr>
        <w:t>标书提交地址：张家港市锦丰镇三兴街道2</w:t>
      </w:r>
      <w:r>
        <w:rPr>
          <w:rFonts w:hint="eastAsia"/>
          <w:sz w:val="24"/>
          <w:lang w:val="en-US" w:eastAsia="zh-CN"/>
        </w:rPr>
        <w:t>2</w:t>
      </w:r>
      <w:r>
        <w:rPr>
          <w:rFonts w:hint="eastAsia"/>
          <w:sz w:val="24"/>
        </w:rPr>
        <w:t>0</w:t>
      </w:r>
      <w:r>
        <w:rPr>
          <w:rFonts w:hint="eastAsia"/>
          <w:sz w:val="24"/>
          <w:lang w:val="en-US" w:eastAsia="zh-CN"/>
        </w:rPr>
        <w:t>2</w:t>
      </w:r>
      <w:r>
        <w:rPr>
          <w:rFonts w:hint="eastAsia"/>
          <w:sz w:val="24"/>
        </w:rPr>
        <w:t xml:space="preserve">号，张家港联合铜业有限公司质量计量部（企管部）；邮编：215624 </w:t>
      </w:r>
    </w:p>
    <w:p w14:paraId="4A95E3F9">
      <w:pPr>
        <w:spacing w:line="360" w:lineRule="auto"/>
        <w:ind w:left="479" w:leftChars="228"/>
        <w:rPr>
          <w:rFonts w:hint="eastAsia"/>
          <w:sz w:val="24"/>
        </w:rPr>
      </w:pPr>
      <w:r>
        <w:rPr>
          <w:rFonts w:hint="eastAsia"/>
          <w:bCs/>
          <w:sz w:val="24"/>
        </w:rPr>
        <w:t>接收时间：投标截止日期前每天8：00至11：30，13：30至16：30，节假日除外。</w:t>
      </w:r>
    </w:p>
    <w:p w14:paraId="345DD851">
      <w:pPr>
        <w:spacing w:line="360" w:lineRule="auto"/>
        <w:ind w:firstLine="480" w:firstLineChars="200"/>
        <w:rPr>
          <w:rFonts w:hint="eastAsia"/>
          <w:sz w:val="24"/>
        </w:rPr>
      </w:pPr>
      <w:r>
        <w:rPr>
          <w:rFonts w:hint="eastAsia"/>
          <w:sz w:val="24"/>
          <w:lang w:val="en-US" w:eastAsia="zh-CN"/>
        </w:rPr>
        <w:t>投标</w:t>
      </w:r>
      <w:r>
        <w:rPr>
          <w:rFonts w:hint="eastAsia"/>
          <w:sz w:val="24"/>
        </w:rPr>
        <w:t>联系人：</w:t>
      </w:r>
      <w:r>
        <w:rPr>
          <w:rFonts w:hint="eastAsia"/>
          <w:sz w:val="24"/>
          <w:lang w:val="en-US" w:eastAsia="zh-CN"/>
        </w:rPr>
        <w:t>殷玥</w:t>
      </w:r>
      <w:r>
        <w:rPr>
          <w:rFonts w:hint="eastAsia"/>
          <w:sz w:val="24"/>
        </w:rPr>
        <w:t xml:space="preserve">        联系电话：0512-58533020    </w:t>
      </w:r>
    </w:p>
    <w:p w14:paraId="66DDFB44">
      <w:pPr>
        <w:pStyle w:val="2"/>
        <w:rPr>
          <w:rFonts w:hint="default" w:eastAsia="宋体"/>
          <w:lang w:val="en-US" w:eastAsia="zh-CN"/>
        </w:rPr>
      </w:pPr>
      <w:r>
        <w:rPr>
          <w:rFonts w:hint="eastAsia"/>
          <w:sz w:val="24"/>
          <w:lang w:val="en-US" w:eastAsia="zh-CN"/>
        </w:rPr>
        <w:t xml:space="preserve">  业务联系人：王恺        联系电话：0512-58538927</w:t>
      </w:r>
    </w:p>
    <w:p w14:paraId="7BF09641">
      <w:pPr>
        <w:rPr>
          <w:rFonts w:hint="eastAsia"/>
          <w:lang w:val="en-US" w:eastAsia="zh-CN"/>
        </w:rPr>
      </w:pPr>
    </w:p>
    <w:p w14:paraId="1D3A6FBC">
      <w:pPr>
        <w:rPr>
          <w:rFonts w:hint="eastAsia" w:eastAsia="宋体"/>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4MTI4NGY4NTIxMWZmZWJmY2QyMDA3MzYwZGVmY2QifQ=="/>
  </w:docVars>
  <w:rsids>
    <w:rsidRoot w:val="47826632"/>
    <w:rsid w:val="0078768E"/>
    <w:rsid w:val="008D138C"/>
    <w:rsid w:val="011D2710"/>
    <w:rsid w:val="01401F5A"/>
    <w:rsid w:val="01D34B7C"/>
    <w:rsid w:val="02072A78"/>
    <w:rsid w:val="021D04ED"/>
    <w:rsid w:val="0227136C"/>
    <w:rsid w:val="02777BFD"/>
    <w:rsid w:val="02F96864"/>
    <w:rsid w:val="03237D85"/>
    <w:rsid w:val="038A570F"/>
    <w:rsid w:val="03C30C20"/>
    <w:rsid w:val="03EF1A15"/>
    <w:rsid w:val="03FA6D38"/>
    <w:rsid w:val="04974587"/>
    <w:rsid w:val="04ED064B"/>
    <w:rsid w:val="05600E1D"/>
    <w:rsid w:val="0560706F"/>
    <w:rsid w:val="05832D5D"/>
    <w:rsid w:val="059565ED"/>
    <w:rsid w:val="062260D2"/>
    <w:rsid w:val="062C0CFF"/>
    <w:rsid w:val="073D0CEA"/>
    <w:rsid w:val="07E6312F"/>
    <w:rsid w:val="08D37B58"/>
    <w:rsid w:val="0A4F320E"/>
    <w:rsid w:val="0ABE2142"/>
    <w:rsid w:val="0B2A1710"/>
    <w:rsid w:val="0BEF2EFA"/>
    <w:rsid w:val="0C0A7D34"/>
    <w:rsid w:val="0C430B50"/>
    <w:rsid w:val="0C937D2A"/>
    <w:rsid w:val="0CFF53BF"/>
    <w:rsid w:val="0D197B03"/>
    <w:rsid w:val="0D533015"/>
    <w:rsid w:val="0D9D24E2"/>
    <w:rsid w:val="0DAD4E1B"/>
    <w:rsid w:val="0DED16BC"/>
    <w:rsid w:val="0E056A05"/>
    <w:rsid w:val="0E0D1416"/>
    <w:rsid w:val="0F07055B"/>
    <w:rsid w:val="0F403A6D"/>
    <w:rsid w:val="0F59068B"/>
    <w:rsid w:val="0FF7412C"/>
    <w:rsid w:val="10A5627E"/>
    <w:rsid w:val="10BE733F"/>
    <w:rsid w:val="10C83D1A"/>
    <w:rsid w:val="11131439"/>
    <w:rsid w:val="112E0021"/>
    <w:rsid w:val="11847C41"/>
    <w:rsid w:val="11D34725"/>
    <w:rsid w:val="11D54941"/>
    <w:rsid w:val="124D097B"/>
    <w:rsid w:val="127A1044"/>
    <w:rsid w:val="127E6D86"/>
    <w:rsid w:val="130628D8"/>
    <w:rsid w:val="130F188E"/>
    <w:rsid w:val="131274CE"/>
    <w:rsid w:val="134A310C"/>
    <w:rsid w:val="13A445CA"/>
    <w:rsid w:val="13C24A51"/>
    <w:rsid w:val="13C45F20"/>
    <w:rsid w:val="15190FE8"/>
    <w:rsid w:val="15632263"/>
    <w:rsid w:val="1598568E"/>
    <w:rsid w:val="15B66837"/>
    <w:rsid w:val="15FC6940"/>
    <w:rsid w:val="161377E5"/>
    <w:rsid w:val="161F43DC"/>
    <w:rsid w:val="163F682C"/>
    <w:rsid w:val="16467BBB"/>
    <w:rsid w:val="16677B31"/>
    <w:rsid w:val="16783AEC"/>
    <w:rsid w:val="16B014D8"/>
    <w:rsid w:val="16ED44DA"/>
    <w:rsid w:val="173914CE"/>
    <w:rsid w:val="17803CD6"/>
    <w:rsid w:val="187529D9"/>
    <w:rsid w:val="187F5A3C"/>
    <w:rsid w:val="18C272A1"/>
    <w:rsid w:val="18C96881"/>
    <w:rsid w:val="194B7296"/>
    <w:rsid w:val="197D7D98"/>
    <w:rsid w:val="19BC1F42"/>
    <w:rsid w:val="19F94F44"/>
    <w:rsid w:val="1A1B310D"/>
    <w:rsid w:val="1ADC6D40"/>
    <w:rsid w:val="1B063DBD"/>
    <w:rsid w:val="1B210BF7"/>
    <w:rsid w:val="1B636B19"/>
    <w:rsid w:val="1BB67591"/>
    <w:rsid w:val="1BF63E31"/>
    <w:rsid w:val="1CC23D13"/>
    <w:rsid w:val="1CF77E61"/>
    <w:rsid w:val="1D383FD6"/>
    <w:rsid w:val="1DC615E1"/>
    <w:rsid w:val="1DF83E91"/>
    <w:rsid w:val="1E2E78B2"/>
    <w:rsid w:val="1E3173A3"/>
    <w:rsid w:val="1E5310C7"/>
    <w:rsid w:val="1EBF49AE"/>
    <w:rsid w:val="1EC10726"/>
    <w:rsid w:val="1F980D5B"/>
    <w:rsid w:val="1FF24910"/>
    <w:rsid w:val="20947775"/>
    <w:rsid w:val="209B6D55"/>
    <w:rsid w:val="20EC135F"/>
    <w:rsid w:val="20F52909"/>
    <w:rsid w:val="210E5779"/>
    <w:rsid w:val="21CD73E2"/>
    <w:rsid w:val="21CF315A"/>
    <w:rsid w:val="22556051"/>
    <w:rsid w:val="22D16A5E"/>
    <w:rsid w:val="22E06CA1"/>
    <w:rsid w:val="231150AD"/>
    <w:rsid w:val="24170DE9"/>
    <w:rsid w:val="246851A0"/>
    <w:rsid w:val="249917FE"/>
    <w:rsid w:val="254C2D14"/>
    <w:rsid w:val="255B4D05"/>
    <w:rsid w:val="25665B84"/>
    <w:rsid w:val="25BF5294"/>
    <w:rsid w:val="269C7383"/>
    <w:rsid w:val="26E36D60"/>
    <w:rsid w:val="273E043A"/>
    <w:rsid w:val="278A3E0D"/>
    <w:rsid w:val="27D86AE1"/>
    <w:rsid w:val="27DD40F7"/>
    <w:rsid w:val="27E014F2"/>
    <w:rsid w:val="28292E99"/>
    <w:rsid w:val="28341F69"/>
    <w:rsid w:val="291D29FD"/>
    <w:rsid w:val="293D4E4D"/>
    <w:rsid w:val="29634188"/>
    <w:rsid w:val="2A2E29E8"/>
    <w:rsid w:val="2AB949A8"/>
    <w:rsid w:val="2AD76BDC"/>
    <w:rsid w:val="2B830B12"/>
    <w:rsid w:val="2C2E4F21"/>
    <w:rsid w:val="2C8E59C0"/>
    <w:rsid w:val="2C9009C8"/>
    <w:rsid w:val="2CA46F92"/>
    <w:rsid w:val="2CCB6C14"/>
    <w:rsid w:val="2D3B78F6"/>
    <w:rsid w:val="2D46629B"/>
    <w:rsid w:val="2DA21723"/>
    <w:rsid w:val="2DE41D3C"/>
    <w:rsid w:val="2DE955A4"/>
    <w:rsid w:val="2E2C723F"/>
    <w:rsid w:val="2EBA6F40"/>
    <w:rsid w:val="2EDA6C9B"/>
    <w:rsid w:val="2EE67D35"/>
    <w:rsid w:val="2F012479"/>
    <w:rsid w:val="2F032695"/>
    <w:rsid w:val="2F4131BE"/>
    <w:rsid w:val="2F5F53F2"/>
    <w:rsid w:val="2F963509"/>
    <w:rsid w:val="303074BA"/>
    <w:rsid w:val="308E41E1"/>
    <w:rsid w:val="30B579BF"/>
    <w:rsid w:val="313B4368"/>
    <w:rsid w:val="31411253"/>
    <w:rsid w:val="31FB58A6"/>
    <w:rsid w:val="31FE0EF2"/>
    <w:rsid w:val="32221084"/>
    <w:rsid w:val="332B3F69"/>
    <w:rsid w:val="33353039"/>
    <w:rsid w:val="33694A91"/>
    <w:rsid w:val="33863895"/>
    <w:rsid w:val="33A31D51"/>
    <w:rsid w:val="340071A3"/>
    <w:rsid w:val="340F388A"/>
    <w:rsid w:val="343926B5"/>
    <w:rsid w:val="343E1A7A"/>
    <w:rsid w:val="348A1163"/>
    <w:rsid w:val="34CB5A03"/>
    <w:rsid w:val="34F565DC"/>
    <w:rsid w:val="35262833"/>
    <w:rsid w:val="35373099"/>
    <w:rsid w:val="35DF103A"/>
    <w:rsid w:val="369260AD"/>
    <w:rsid w:val="36E1380D"/>
    <w:rsid w:val="37155E89"/>
    <w:rsid w:val="37537F32"/>
    <w:rsid w:val="37A97B52"/>
    <w:rsid w:val="37ED7A3F"/>
    <w:rsid w:val="3814321D"/>
    <w:rsid w:val="381E409C"/>
    <w:rsid w:val="385F174D"/>
    <w:rsid w:val="387939C8"/>
    <w:rsid w:val="394C2E8B"/>
    <w:rsid w:val="39777F08"/>
    <w:rsid w:val="3A0E0140"/>
    <w:rsid w:val="3A95616C"/>
    <w:rsid w:val="3AC0768C"/>
    <w:rsid w:val="3AE80991"/>
    <w:rsid w:val="3B4F0A10"/>
    <w:rsid w:val="3B90705F"/>
    <w:rsid w:val="3BC35686"/>
    <w:rsid w:val="3BD056AD"/>
    <w:rsid w:val="3C495460"/>
    <w:rsid w:val="3C5C5193"/>
    <w:rsid w:val="3CA64660"/>
    <w:rsid w:val="3CD70CBD"/>
    <w:rsid w:val="3CD92C87"/>
    <w:rsid w:val="3D332398"/>
    <w:rsid w:val="3D7A7FC6"/>
    <w:rsid w:val="3DB57251"/>
    <w:rsid w:val="3E410AE4"/>
    <w:rsid w:val="3E7C38CA"/>
    <w:rsid w:val="3EA352FB"/>
    <w:rsid w:val="3F2F4DE1"/>
    <w:rsid w:val="3F5D1206"/>
    <w:rsid w:val="3F8769CB"/>
    <w:rsid w:val="3FB11C9A"/>
    <w:rsid w:val="3FBD6F0B"/>
    <w:rsid w:val="40307062"/>
    <w:rsid w:val="40C854ED"/>
    <w:rsid w:val="40D43E92"/>
    <w:rsid w:val="41524DB6"/>
    <w:rsid w:val="41DB4DAC"/>
    <w:rsid w:val="41DD7EA2"/>
    <w:rsid w:val="420A743F"/>
    <w:rsid w:val="420F2CA7"/>
    <w:rsid w:val="42473F06"/>
    <w:rsid w:val="42AE426E"/>
    <w:rsid w:val="43086074"/>
    <w:rsid w:val="43601A0D"/>
    <w:rsid w:val="4391606A"/>
    <w:rsid w:val="44501A81"/>
    <w:rsid w:val="448B2AB9"/>
    <w:rsid w:val="45C73FC5"/>
    <w:rsid w:val="460C7C2A"/>
    <w:rsid w:val="4642189D"/>
    <w:rsid w:val="464B69A4"/>
    <w:rsid w:val="465313B5"/>
    <w:rsid w:val="466B0DF4"/>
    <w:rsid w:val="467F03FC"/>
    <w:rsid w:val="469A6FE4"/>
    <w:rsid w:val="47226FD9"/>
    <w:rsid w:val="473C453F"/>
    <w:rsid w:val="477E4B57"/>
    <w:rsid w:val="47826632"/>
    <w:rsid w:val="47AD0F98"/>
    <w:rsid w:val="47B16CDB"/>
    <w:rsid w:val="47D44777"/>
    <w:rsid w:val="48256D81"/>
    <w:rsid w:val="485E289E"/>
    <w:rsid w:val="487321E2"/>
    <w:rsid w:val="48741AB6"/>
    <w:rsid w:val="48DB1B35"/>
    <w:rsid w:val="493D52C9"/>
    <w:rsid w:val="49724248"/>
    <w:rsid w:val="49DA3B9B"/>
    <w:rsid w:val="49E36EF3"/>
    <w:rsid w:val="49E50EBD"/>
    <w:rsid w:val="4A183041"/>
    <w:rsid w:val="4A69389D"/>
    <w:rsid w:val="4B166E55"/>
    <w:rsid w:val="4B3C2D5F"/>
    <w:rsid w:val="4B6422B6"/>
    <w:rsid w:val="4B771FE9"/>
    <w:rsid w:val="4B8F7333"/>
    <w:rsid w:val="4B985ABC"/>
    <w:rsid w:val="4BC82845"/>
    <w:rsid w:val="4BE27C2C"/>
    <w:rsid w:val="4BEA4569"/>
    <w:rsid w:val="4BFB49C8"/>
    <w:rsid w:val="4C054D16"/>
    <w:rsid w:val="4C235CCD"/>
    <w:rsid w:val="4C883D82"/>
    <w:rsid w:val="4C9D5A7F"/>
    <w:rsid w:val="4D3A1520"/>
    <w:rsid w:val="4D9B507E"/>
    <w:rsid w:val="4DB82445"/>
    <w:rsid w:val="4E636855"/>
    <w:rsid w:val="4F161B19"/>
    <w:rsid w:val="4F1F09CE"/>
    <w:rsid w:val="4F624D5E"/>
    <w:rsid w:val="4F7D74A2"/>
    <w:rsid w:val="50C8299F"/>
    <w:rsid w:val="513B13C3"/>
    <w:rsid w:val="51A70A5D"/>
    <w:rsid w:val="51D75590"/>
    <w:rsid w:val="52306A4E"/>
    <w:rsid w:val="529B480F"/>
    <w:rsid w:val="52CF270B"/>
    <w:rsid w:val="53605111"/>
    <w:rsid w:val="53803A05"/>
    <w:rsid w:val="53980D4F"/>
    <w:rsid w:val="53AA2830"/>
    <w:rsid w:val="53AE6D30"/>
    <w:rsid w:val="53BC2C8F"/>
    <w:rsid w:val="54AA6F8B"/>
    <w:rsid w:val="54B73456"/>
    <w:rsid w:val="54E0475B"/>
    <w:rsid w:val="54ED18EB"/>
    <w:rsid w:val="552A00CC"/>
    <w:rsid w:val="55482300"/>
    <w:rsid w:val="554967A4"/>
    <w:rsid w:val="56574EF1"/>
    <w:rsid w:val="56E9366F"/>
    <w:rsid w:val="56ED7603"/>
    <w:rsid w:val="575E22AF"/>
    <w:rsid w:val="57A001D2"/>
    <w:rsid w:val="58134E48"/>
    <w:rsid w:val="58BE1257"/>
    <w:rsid w:val="59413C36"/>
    <w:rsid w:val="5960230F"/>
    <w:rsid w:val="59771406"/>
    <w:rsid w:val="598A113A"/>
    <w:rsid w:val="59B2243E"/>
    <w:rsid w:val="59D6612D"/>
    <w:rsid w:val="59DB7BE7"/>
    <w:rsid w:val="5AA955EF"/>
    <w:rsid w:val="5BB4249E"/>
    <w:rsid w:val="5BB95D06"/>
    <w:rsid w:val="5BBB7CD0"/>
    <w:rsid w:val="5C5617A7"/>
    <w:rsid w:val="5D3C099D"/>
    <w:rsid w:val="5D883BE2"/>
    <w:rsid w:val="5DC7295C"/>
    <w:rsid w:val="5E1839CC"/>
    <w:rsid w:val="5E40011A"/>
    <w:rsid w:val="5E4A70E9"/>
    <w:rsid w:val="5E7D74BF"/>
    <w:rsid w:val="5E993BCD"/>
    <w:rsid w:val="5F013C4C"/>
    <w:rsid w:val="5F8B5C0B"/>
    <w:rsid w:val="5FE86BBA"/>
    <w:rsid w:val="5FF217E7"/>
    <w:rsid w:val="600357A2"/>
    <w:rsid w:val="60213E7A"/>
    <w:rsid w:val="61137C66"/>
    <w:rsid w:val="611A2DA3"/>
    <w:rsid w:val="612D42A4"/>
    <w:rsid w:val="61412A26"/>
    <w:rsid w:val="6151078F"/>
    <w:rsid w:val="618B5A4F"/>
    <w:rsid w:val="61DE0274"/>
    <w:rsid w:val="626C3AD2"/>
    <w:rsid w:val="62B86D17"/>
    <w:rsid w:val="62E713AB"/>
    <w:rsid w:val="63203B83"/>
    <w:rsid w:val="633B34A5"/>
    <w:rsid w:val="634A36E8"/>
    <w:rsid w:val="638C3D00"/>
    <w:rsid w:val="64216B3E"/>
    <w:rsid w:val="64C80D68"/>
    <w:rsid w:val="659F5F6D"/>
    <w:rsid w:val="66524D8D"/>
    <w:rsid w:val="66862C89"/>
    <w:rsid w:val="66903B07"/>
    <w:rsid w:val="67112E9A"/>
    <w:rsid w:val="67E265E5"/>
    <w:rsid w:val="68A815DC"/>
    <w:rsid w:val="68F6059A"/>
    <w:rsid w:val="694035C3"/>
    <w:rsid w:val="697F233D"/>
    <w:rsid w:val="6980587A"/>
    <w:rsid w:val="699B4C9D"/>
    <w:rsid w:val="69AF24F6"/>
    <w:rsid w:val="69DF2DDC"/>
    <w:rsid w:val="6A3550F2"/>
    <w:rsid w:val="6A935974"/>
    <w:rsid w:val="6B7C465A"/>
    <w:rsid w:val="6BA936A1"/>
    <w:rsid w:val="6BB64010"/>
    <w:rsid w:val="6BB86BC8"/>
    <w:rsid w:val="6C621AA2"/>
    <w:rsid w:val="6C64581A"/>
    <w:rsid w:val="6C9C3206"/>
    <w:rsid w:val="6CA83959"/>
    <w:rsid w:val="6CBC5656"/>
    <w:rsid w:val="6CED1CB3"/>
    <w:rsid w:val="6CF05300"/>
    <w:rsid w:val="6CF50B68"/>
    <w:rsid w:val="6D413DAD"/>
    <w:rsid w:val="6D7E290C"/>
    <w:rsid w:val="6D926395"/>
    <w:rsid w:val="6E361438"/>
    <w:rsid w:val="6EA12D56"/>
    <w:rsid w:val="6FAF3250"/>
    <w:rsid w:val="6FF53274"/>
    <w:rsid w:val="702552C0"/>
    <w:rsid w:val="702C2AF3"/>
    <w:rsid w:val="704716DB"/>
    <w:rsid w:val="70622071"/>
    <w:rsid w:val="706F478E"/>
    <w:rsid w:val="708B5A6B"/>
    <w:rsid w:val="70A46B2D"/>
    <w:rsid w:val="70F84783"/>
    <w:rsid w:val="710E21F8"/>
    <w:rsid w:val="71290DE0"/>
    <w:rsid w:val="7165651B"/>
    <w:rsid w:val="71E73175"/>
    <w:rsid w:val="71E74F23"/>
    <w:rsid w:val="72086C48"/>
    <w:rsid w:val="72A66B8C"/>
    <w:rsid w:val="742A7349"/>
    <w:rsid w:val="74DB6895"/>
    <w:rsid w:val="75BE24B1"/>
    <w:rsid w:val="75DA6B4D"/>
    <w:rsid w:val="76456757"/>
    <w:rsid w:val="76516E0F"/>
    <w:rsid w:val="768371E5"/>
    <w:rsid w:val="770E6AAE"/>
    <w:rsid w:val="779A2A38"/>
    <w:rsid w:val="77A64F39"/>
    <w:rsid w:val="77C875A5"/>
    <w:rsid w:val="782A5B6A"/>
    <w:rsid w:val="78484242"/>
    <w:rsid w:val="784A1D68"/>
    <w:rsid w:val="78B418D7"/>
    <w:rsid w:val="78CF4963"/>
    <w:rsid w:val="79077C59"/>
    <w:rsid w:val="79B06543"/>
    <w:rsid w:val="79B53B59"/>
    <w:rsid w:val="7A146AD1"/>
    <w:rsid w:val="7A3B22B0"/>
    <w:rsid w:val="7A5E7D4D"/>
    <w:rsid w:val="7A652E89"/>
    <w:rsid w:val="7A777060"/>
    <w:rsid w:val="7B1448AF"/>
    <w:rsid w:val="7B191EC6"/>
    <w:rsid w:val="7B5B0730"/>
    <w:rsid w:val="7B6A44CF"/>
    <w:rsid w:val="7C2B1EB0"/>
    <w:rsid w:val="7C887303"/>
    <w:rsid w:val="7D562F5D"/>
    <w:rsid w:val="7D7653AD"/>
    <w:rsid w:val="7DD10836"/>
    <w:rsid w:val="7E040C0B"/>
    <w:rsid w:val="7E3F60E7"/>
    <w:rsid w:val="7ED71E7C"/>
    <w:rsid w:val="7EFB200E"/>
    <w:rsid w:val="7F0569E9"/>
    <w:rsid w:val="7F1255AA"/>
    <w:rsid w:val="7F2350C1"/>
    <w:rsid w:val="7FD514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1"/>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paragraph" w:styleId="5">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4"/>
    <w:qFormat/>
    <w:uiPriority w:val="0"/>
    <w:pPr>
      <w:ind w:firstLine="420" w:firstLineChars="100"/>
    </w:pPr>
  </w:style>
  <w:style w:type="paragraph" w:styleId="3">
    <w:name w:val="Body Text"/>
    <w:basedOn w:val="1"/>
    <w:unhideWhenUsed/>
    <w:qFormat/>
    <w:uiPriority w:val="99"/>
    <w:pPr>
      <w:spacing w:after="120"/>
    </w:p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1788</Words>
  <Characters>1872</Characters>
  <Lines>0</Lines>
  <Paragraphs>0</Paragraphs>
  <TotalTime>3</TotalTime>
  <ScaleCrop>false</ScaleCrop>
  <LinksUpToDate>false</LinksUpToDate>
  <CharactersWithSpaces>1905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2020-08-19T00:36:00Z</dcterms:created>
  <dc:creator>Sir668837</dc:creator>
  <cp:lastModifiedBy>houyz</cp:lastModifiedBy>
  <cp:lastPrinted>2022-09-05T06:20:00Z</cp:lastPrinted>
  <dcterms:modified xsi:type="dcterms:W3CDTF">2025-06-06T05:54:15Z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ABCA9DEE06A441DFB8A4B4BCE7B202A5</vt:lpwstr>
  </property>
  <property fmtid="{D5CDD505-2E9C-101B-9397-08002B2CF9AE}" pid="4" name="KSOTemplateDocerSaveRecord">
    <vt:lpwstr>eyJoZGlkIjoiOGI4ZGNkZTBiNjMzYTY2OTdmZjcwNzZmMjBjZWIwNGUiLCJ1c2VySWQiOiIyODYxNDcyMjAifQ==</vt:lpwstr>
  </property>
</Properties>
</file>