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B36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楷体_GB2312" w:eastAsia="楷体_GB2312"/>
          <w:u w:val="single"/>
        </w:rPr>
      </w:pPr>
      <w:r>
        <w:rPr>
          <w:rFonts w:hint="eastAsia" w:ascii="仿宋_GB2312" w:hAnsi="宋体" w:eastAsia="仿宋_GB2312"/>
        </w:rPr>
        <w:t>　</w:t>
      </w:r>
    </w:p>
    <w:p w14:paraId="1F73E27D">
      <w:pPr>
        <w:spacing w:line="700" w:lineRule="exact"/>
        <w:jc w:val="center"/>
        <w:rPr>
          <w:rFonts w:ascii="宋体" w:hAnsi="宋体" w:cs="宋体"/>
          <w:kern w:val="1"/>
          <w:sz w:val="44"/>
          <w:szCs w:val="44"/>
        </w:rPr>
      </w:pPr>
      <w:bookmarkStart w:id="0" w:name="_Toc462666675"/>
      <w:bookmarkStart w:id="1" w:name="_Toc246996157"/>
      <w:bookmarkStart w:id="2" w:name="_Toc247096243"/>
      <w:bookmarkStart w:id="3" w:name="_Toc247085671"/>
      <w:bookmarkStart w:id="4" w:name="_Toc246996900"/>
      <w:r>
        <w:rPr>
          <w:rFonts w:hint="eastAsia" w:ascii="宋体" w:hAnsi="宋体" w:cs="宋体"/>
          <w:kern w:val="1"/>
          <w:sz w:val="44"/>
          <w:szCs w:val="44"/>
        </w:rPr>
        <w:t>绿化</w:t>
      </w:r>
      <w:r>
        <w:rPr>
          <w:rFonts w:hint="eastAsia" w:ascii="宋体" w:hAnsi="宋体" w:cs="宋体"/>
          <w:kern w:val="1"/>
          <w:sz w:val="44"/>
          <w:szCs w:val="44"/>
          <w:lang w:val="en-US" w:eastAsia="zh-CN"/>
        </w:rPr>
        <w:t>维</w:t>
      </w:r>
      <w:r>
        <w:rPr>
          <w:rFonts w:hint="eastAsia" w:ascii="宋体" w:hAnsi="宋体" w:cs="宋体"/>
          <w:kern w:val="1"/>
          <w:sz w:val="44"/>
          <w:szCs w:val="44"/>
        </w:rPr>
        <w:t>护</w:t>
      </w:r>
      <w:r>
        <w:rPr>
          <w:rFonts w:hint="eastAsia" w:ascii="宋体" w:hAnsi="宋体" w:cs="宋体"/>
          <w:kern w:val="1"/>
          <w:sz w:val="44"/>
          <w:szCs w:val="44"/>
          <w:lang w:val="en-US" w:eastAsia="zh-CN"/>
        </w:rPr>
        <w:t>服务</w:t>
      </w:r>
      <w:r>
        <w:rPr>
          <w:rFonts w:hint="eastAsia" w:ascii="宋体" w:hAnsi="宋体" w:cs="宋体"/>
          <w:kern w:val="1"/>
          <w:sz w:val="44"/>
          <w:szCs w:val="44"/>
        </w:rPr>
        <w:t>竞价公告</w:t>
      </w:r>
      <w:bookmarkEnd w:id="0"/>
      <w:bookmarkEnd w:id="1"/>
      <w:bookmarkEnd w:id="2"/>
      <w:bookmarkEnd w:id="3"/>
      <w:bookmarkEnd w:id="4"/>
    </w:p>
    <w:p w14:paraId="26C42DD1">
      <w:pPr>
        <w:spacing w:line="500" w:lineRule="exact"/>
        <w:jc w:val="center"/>
        <w:rPr>
          <w:rFonts w:ascii="宋体" w:hAnsi="宋体" w:cs="宋体"/>
          <w:kern w:val="1"/>
          <w:sz w:val="44"/>
          <w:szCs w:val="44"/>
        </w:rPr>
      </w:pPr>
    </w:p>
    <w:p w14:paraId="3564D55E">
      <w:pPr>
        <w:spacing w:line="5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工程项目编号：LHTY20250916-02</w:t>
      </w:r>
    </w:p>
    <w:p w14:paraId="54295579">
      <w:pPr>
        <w:spacing w:line="50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sz w:val="24"/>
        </w:rPr>
        <w:t>发 布 日 期 ：</w:t>
      </w:r>
      <w:bookmarkStart w:id="5" w:name="OLE_LINK1"/>
      <w:r>
        <w:rPr>
          <w:rFonts w:hint="eastAsia" w:ascii="宋体" w:hAnsi="宋体" w:cs="宋体"/>
          <w:sz w:val="24"/>
          <w:lang w:val="en-US" w:eastAsia="zh-CN"/>
        </w:rPr>
        <w:t>2025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16</w:t>
      </w:r>
      <w:r>
        <w:rPr>
          <w:rFonts w:hint="eastAsia" w:ascii="宋体" w:hAnsi="宋体" w:cs="宋体"/>
          <w:sz w:val="24"/>
        </w:rPr>
        <w:t>日</w:t>
      </w:r>
      <w:bookmarkEnd w:id="5"/>
    </w:p>
    <w:p w14:paraId="0F53EC61">
      <w:p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一、发布条件</w:t>
      </w:r>
    </w:p>
    <w:p w14:paraId="1920F03A">
      <w:pPr>
        <w:spacing w:line="500" w:lineRule="exact"/>
        <w:rPr>
          <w:rFonts w:hint="eastAsia" w:ascii="宋体" w:hAnsi="宋体" w:cs="宋体"/>
          <w:kern w:val="1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 xml:space="preserve">1、工程名称: </w:t>
      </w:r>
      <w:r>
        <w:rPr>
          <w:rFonts w:hint="eastAsia" w:ascii="宋体" w:hAnsi="宋体" w:cs="宋体"/>
          <w:kern w:val="1"/>
          <w:sz w:val="24"/>
        </w:rPr>
        <w:t>绿化</w:t>
      </w:r>
      <w:r>
        <w:rPr>
          <w:rFonts w:hint="eastAsia" w:ascii="宋体" w:hAnsi="宋体" w:cs="宋体"/>
          <w:kern w:val="1"/>
          <w:sz w:val="24"/>
          <w:lang w:val="en-US" w:eastAsia="zh-CN"/>
        </w:rPr>
        <w:t>维</w:t>
      </w:r>
      <w:r>
        <w:rPr>
          <w:rFonts w:hint="eastAsia" w:ascii="宋体" w:hAnsi="宋体" w:cs="宋体"/>
          <w:kern w:val="1"/>
          <w:sz w:val="24"/>
        </w:rPr>
        <w:t>护</w:t>
      </w:r>
      <w:r>
        <w:rPr>
          <w:rFonts w:hint="eastAsia" w:ascii="宋体" w:hAnsi="宋体" w:cs="宋体"/>
          <w:kern w:val="1"/>
          <w:sz w:val="24"/>
          <w:lang w:val="en-US" w:eastAsia="zh-CN"/>
        </w:rPr>
        <w:t>服务</w:t>
      </w:r>
    </w:p>
    <w:p w14:paraId="225BE5C4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2、招标人：张家港联合铜业有限公司</w:t>
      </w:r>
    </w:p>
    <w:p w14:paraId="78C93E98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3、资金来源：自筹</w:t>
      </w:r>
    </w:p>
    <w:p w14:paraId="5CB33A6E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4、招标日程安排表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2158"/>
        <w:gridCol w:w="2496"/>
        <w:gridCol w:w="2057"/>
        <w:gridCol w:w="2267"/>
      </w:tblGrid>
      <w:tr w14:paraId="02C747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C5734D5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序号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AEC4A0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内容</w:t>
            </w:r>
          </w:p>
        </w:tc>
        <w:tc>
          <w:tcPr>
            <w:tcW w:w="2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1EB0289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时间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568FEB5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地点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3F142C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备注</w:t>
            </w:r>
          </w:p>
        </w:tc>
      </w:tr>
      <w:tr w14:paraId="6ED6C9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9EEB6FF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D6EC7AA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发招标文件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FDCC283">
            <w:pPr>
              <w:tabs>
                <w:tab w:val="left" w:pos="7020"/>
              </w:tabs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2025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9 月16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D8C7B13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见下表招标人地址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E3C91B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43EB9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445DCE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D493640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现场踏勘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200FEDF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自行组织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46B0ED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A92827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F5602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391841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73659CF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疑问(同时以邮件、书面</w:t>
            </w:r>
          </w:p>
          <w:p w14:paraId="02DD9CD7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两种形式递交)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76EEFEA">
            <w:pPr>
              <w:tabs>
                <w:tab w:val="left" w:pos="7020"/>
              </w:tabs>
              <w:spacing w:line="500" w:lineRule="exact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2025年9月23日上午9:00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2592EBB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见文中招标人地址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BDF339E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552B0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8302CAE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D515108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招标答疑(书面)</w:t>
            </w:r>
          </w:p>
        </w:tc>
        <w:tc>
          <w:tcPr>
            <w:tcW w:w="2496" w:type="dxa"/>
            <w:vMerge w:val="continue"/>
            <w:tcBorders>
              <w:left w:val="nil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4BFF642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6CA4E9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17761AF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9828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BCEAF7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4CEB9D3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投标文件提交地点及截止时间</w:t>
            </w:r>
          </w:p>
        </w:tc>
        <w:tc>
          <w:tcPr>
            <w:tcW w:w="24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753D94E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059501F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62EB1F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0D6EB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C7FCBB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5CA3CD1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开标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1484AC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7FAF135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7319CFF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0F197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E0DA6B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54806F3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发中标通知书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DED0DEF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A2E92A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3C83224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62EB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978A98C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FD57B10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签订合同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82712AA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11B9CB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见下表招标人地址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0A15EE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04FEC9A8">
      <w:pPr>
        <w:spacing w:line="50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项目概况与招标范围</w:t>
      </w:r>
    </w:p>
    <w:p w14:paraId="6754667B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1、工程实施地点：张家港市</w:t>
      </w:r>
    </w:p>
    <w:p w14:paraId="7FD8C680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2、项目概况及招标范围：</w:t>
      </w:r>
      <w:r>
        <w:rPr>
          <w:rFonts w:hint="eastAsia" w:ascii="宋体" w:hAnsi="宋体" w:cs="宋体"/>
          <w:bCs/>
          <w:sz w:val="24"/>
        </w:rPr>
        <w:t>详见绿化技术要求和实地考察</w:t>
      </w:r>
      <w:r>
        <w:rPr>
          <w:rFonts w:hint="eastAsia" w:ascii="宋体" w:hAnsi="宋体" w:cs="宋体"/>
          <w:sz w:val="24"/>
        </w:rPr>
        <w:t>。 </w:t>
      </w:r>
    </w:p>
    <w:p w14:paraId="57E42726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3、计划工期：365日历天。</w:t>
      </w:r>
    </w:p>
    <w:p w14:paraId="6389529C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4、本项目资格后审。</w:t>
      </w:r>
    </w:p>
    <w:p w14:paraId="19502214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5、本工程不得转包或分包。</w:t>
      </w:r>
    </w:p>
    <w:p w14:paraId="15DFD4B2">
      <w:pPr>
        <w:widowControl/>
        <w:spacing w:line="5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三、绿化技术要求</w:t>
      </w:r>
    </w:p>
    <w:p w14:paraId="42951225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1、日常绿化养护管理包括：修剪、施肥、除草、病虫害防治、加固扶正</w:t>
      </w:r>
      <w:r>
        <w:rPr>
          <w:rFonts w:hint="eastAsia" w:ascii="宋体" w:hAnsi="宋体" w:cs="宋体"/>
          <w:sz w:val="24"/>
          <w:lang w:val="en-US" w:eastAsia="zh-CN"/>
        </w:rPr>
        <w:t>绿植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color w:val="C81D31" w:themeColor="accent6" w:themeShade="BF"/>
          <w:sz w:val="24"/>
          <w:lang w:val="en-US" w:eastAsia="zh-CN"/>
        </w:rPr>
        <w:t>翻土</w:t>
      </w:r>
      <w:r>
        <w:rPr>
          <w:rFonts w:hint="eastAsia" w:ascii="宋体" w:hAnsi="宋体" w:cs="宋体"/>
          <w:color w:val="C81D31" w:themeColor="accent6" w:themeShade="BF"/>
          <w:sz w:val="24"/>
        </w:rPr>
        <w:t>补苗</w:t>
      </w:r>
      <w:r>
        <w:rPr>
          <w:rFonts w:hint="eastAsia" w:ascii="宋体" w:hAnsi="宋体" w:cs="宋体"/>
          <w:sz w:val="24"/>
        </w:rPr>
        <w:t>等。具体要求如下：</w:t>
      </w:r>
    </w:p>
    <w:p w14:paraId="59A98177">
      <w:pPr>
        <w:widowControl/>
        <w:spacing w:line="500" w:lineRule="exact"/>
        <w:jc w:val="left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花坛：花坛内的杂草枯枝需定期清理，花坛内的花草长势不得超过花坛围堰，超过需及时修剪；</w:t>
      </w:r>
      <w:r>
        <w:rPr>
          <w:rFonts w:hint="eastAsia" w:ascii="宋体" w:hAnsi="宋体" w:cs="宋体"/>
          <w:color w:val="C81D31" w:themeColor="accent6" w:themeShade="BF"/>
          <w:sz w:val="24"/>
          <w:lang w:val="en-US" w:eastAsia="zh-CN"/>
        </w:rPr>
        <w:t>厂区内主干道周边杂草需人工处理（手拔)；</w:t>
      </w:r>
    </w:p>
    <w:p w14:paraId="069897EC">
      <w:pPr>
        <w:widowControl/>
        <w:spacing w:line="500" w:lineRule="exact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（2）草坪：</w:t>
      </w:r>
      <w:r>
        <w:rPr>
          <w:rFonts w:ascii="宋体" w:hAnsi="宋体" w:cs="宋体"/>
          <w:sz w:val="24"/>
        </w:rPr>
        <w:t>草坪高度小于</w:t>
      </w:r>
      <w:r>
        <w:rPr>
          <w:rFonts w:hint="eastAsia" w:ascii="宋体" w:hAnsi="宋体" w:cs="宋体"/>
          <w:sz w:val="24"/>
        </w:rPr>
        <w:t>10cm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超过10cm需及时修剪；</w:t>
      </w:r>
    </w:p>
    <w:p w14:paraId="1F06A10F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花草长势茂盛期（5-10月）</w:t>
      </w:r>
      <w:r>
        <w:rPr>
          <w:rFonts w:hint="eastAsia" w:ascii="宋体" w:hAnsi="宋体" w:cs="宋体"/>
          <w:sz w:val="24"/>
        </w:rPr>
        <w:t>，每月至少进行一次绿化养护管理；</w:t>
      </w:r>
      <w:r>
        <w:rPr>
          <w:rFonts w:hint="eastAsia" w:ascii="宋体" w:hAnsi="宋体" w:cs="宋体"/>
          <w:sz w:val="24"/>
          <w:lang w:val="en-US" w:eastAsia="zh-CN"/>
        </w:rPr>
        <w:t>另外甲方可根据花草长势情况要求乙方加强养护管理周期，</w:t>
      </w:r>
      <w:r>
        <w:rPr>
          <w:rFonts w:hint="eastAsia" w:ascii="宋体" w:hAnsi="宋体" w:cs="宋体"/>
          <w:sz w:val="24"/>
        </w:rPr>
        <w:t>其余月份，至少隔月进行一次绿化养护管理。要求绿化承包区域整洁美观、出水水沟通畅、、树木无倒伏。</w:t>
      </w:r>
    </w:p>
    <w:p w14:paraId="38CE1ED1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）如招标方人员在日常检查中发现问题，通知投标方后，投标方须确保次日</w:t>
      </w:r>
      <w:r>
        <w:rPr>
          <w:rFonts w:hint="eastAsia" w:ascii="宋体" w:hAnsi="宋体" w:cs="宋体"/>
          <w:color w:val="FF0000"/>
          <w:sz w:val="24"/>
        </w:rPr>
        <w:t>派</w:t>
      </w:r>
      <w:r>
        <w:rPr>
          <w:rFonts w:hint="eastAsia" w:ascii="宋体" w:hAnsi="宋体" w:cs="宋体"/>
          <w:color w:val="FF0000"/>
          <w:sz w:val="24"/>
          <w:lang w:val="en-US" w:eastAsia="zh-CN"/>
        </w:rPr>
        <w:t>人</w:t>
      </w:r>
      <w:r>
        <w:rPr>
          <w:rFonts w:hint="eastAsia" w:ascii="宋体" w:hAnsi="宋体" w:cs="宋体"/>
          <w:color w:val="FF0000"/>
          <w:sz w:val="24"/>
        </w:rPr>
        <w:t>员</w:t>
      </w:r>
      <w:r>
        <w:rPr>
          <w:rFonts w:hint="eastAsia" w:ascii="宋体" w:hAnsi="宋体" w:cs="宋体"/>
          <w:sz w:val="24"/>
        </w:rPr>
        <w:t>到场并按要求进行养护。</w:t>
      </w:r>
    </w:p>
    <w:p w14:paraId="3FDF8443">
      <w:pPr>
        <w:widowControl/>
        <w:spacing w:line="500" w:lineRule="exact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养护期所需的工具由投标方自行解决，养护期所需的绿植、化肥，农药等有招标方提供。</w:t>
      </w:r>
    </w:p>
    <w:p w14:paraId="4CB47865">
      <w:pPr>
        <w:widowControl/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2、病虫害防治要求</w:t>
      </w:r>
    </w:p>
    <w:p w14:paraId="71C00DCB">
      <w:pPr>
        <w:widowControl/>
        <w:spacing w:line="5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因投标方管护不当造成的花卉草木大面积病虫害甚至死亡的，由投标方负责救治或更换。</w:t>
      </w:r>
    </w:p>
    <w:p w14:paraId="71C83BFE">
      <w:pPr>
        <w:widowControl/>
        <w:spacing w:line="5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 w:cs="宋体"/>
          <w:b/>
          <w:bCs/>
          <w:sz w:val="28"/>
          <w:szCs w:val="28"/>
        </w:rPr>
        <w:t>、结算方式及考核</w:t>
      </w:r>
    </w:p>
    <w:p w14:paraId="30C94B38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1、本次招标按照每平米单价进行投标，具体服务范围为本公司的办公楼、厂区、宿舍生活区、停车场，面积约为4</w:t>
      </w:r>
      <w:r>
        <w:rPr>
          <w:rFonts w:hint="eastAsia" w:ascii="宋体" w:hAnsi="宋体" w:cs="宋体"/>
          <w:sz w:val="24"/>
          <w:lang w:val="en-US" w:eastAsia="zh-CN"/>
        </w:rPr>
        <w:t>.7</w:t>
      </w:r>
      <w:r>
        <w:rPr>
          <w:rFonts w:hint="eastAsia" w:ascii="宋体" w:hAnsi="宋体" w:cs="宋体"/>
          <w:sz w:val="24"/>
        </w:rPr>
        <w:t>万平方米。</w:t>
      </w:r>
    </w:p>
    <w:p w14:paraId="05960AB8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2、最终结算金额按照中标单价×公司服务外包面积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</w:rPr>
        <w:t>招标方后勤保障科负责对中标方的服务质量进行审查，</w:t>
      </w:r>
      <w:r>
        <w:rPr>
          <w:rFonts w:hint="eastAsia" w:ascii="宋体" w:hAnsi="宋体" w:cs="宋体"/>
          <w:color w:val="FF0000"/>
          <w:sz w:val="24"/>
        </w:rPr>
        <w:t>具体考核要求在合同中约定，</w:t>
      </w:r>
      <w:r>
        <w:rPr>
          <w:rFonts w:hint="eastAsia" w:ascii="宋体" w:hAnsi="宋体" w:cs="宋体"/>
          <w:sz w:val="24"/>
        </w:rPr>
        <w:t>如果中标方的服务质量未达到要求，招标方有权按照合同要求在服务费</w:t>
      </w:r>
      <w:r>
        <w:rPr>
          <w:rFonts w:hint="eastAsia" w:ascii="宋体" w:hAnsi="宋体" w:cs="宋体"/>
          <w:sz w:val="24"/>
          <w:lang w:val="en-US" w:eastAsia="zh-CN"/>
        </w:rPr>
        <w:t>中</w:t>
      </w:r>
      <w:r>
        <w:rPr>
          <w:rFonts w:hint="eastAsia" w:ascii="宋体" w:hAnsi="宋体" w:cs="宋体"/>
          <w:sz w:val="24"/>
        </w:rPr>
        <w:t>进行相应的扣除。</w:t>
      </w:r>
    </w:p>
    <w:p w14:paraId="64A7652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3、如果发现中标方随意浪费招标方的水和电、或者违反招标方的规章制度和5S标准，招标方有权对中标方进行罚款，在服务费</w:t>
      </w:r>
      <w:r>
        <w:rPr>
          <w:rFonts w:hint="eastAsia" w:ascii="宋体" w:hAnsi="宋体" w:cs="宋体"/>
          <w:sz w:val="24"/>
          <w:lang w:val="en-US" w:eastAsia="zh-CN"/>
        </w:rPr>
        <w:t>中</w:t>
      </w:r>
      <w:r>
        <w:rPr>
          <w:rFonts w:hint="eastAsia" w:ascii="宋体" w:hAnsi="宋体" w:cs="宋体"/>
          <w:sz w:val="24"/>
        </w:rPr>
        <w:t>进行相应的扣除。</w:t>
      </w:r>
    </w:p>
    <w:p w14:paraId="24261B72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4、付款方式：按季度结算，开具增值税普通发票，发票到后半个月内付清。                                          </w:t>
      </w:r>
    </w:p>
    <w:p w14:paraId="615B7991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sz w:val="28"/>
          <w:szCs w:val="28"/>
        </w:rPr>
        <w:t>、投标要求</w:t>
      </w:r>
    </w:p>
    <w:p w14:paraId="0CF954FA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1、供应商资格要求：</w:t>
      </w:r>
    </w:p>
    <w:p w14:paraId="6E737D48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资质要求：须在中华人民共和国境内合法注册三年以上，具有独立承担民事责任的能力，注册资金人民币</w:t>
      </w:r>
      <w:r>
        <w:rPr>
          <w:rFonts w:hint="eastAsia" w:ascii="宋体" w:hAnsi="宋体" w:cs="宋体"/>
          <w:sz w:val="24"/>
          <w:lang w:val="en-US" w:eastAsia="zh-CN"/>
        </w:rPr>
        <w:t>100</w:t>
      </w:r>
      <w:r>
        <w:rPr>
          <w:rFonts w:hint="eastAsia" w:ascii="宋体" w:hAnsi="宋体" w:cs="宋体"/>
          <w:sz w:val="24"/>
        </w:rPr>
        <w:t>万元以上（含），增值税个体工商户以上（含），且营业执照经营范围包括但不限于：苗木、花木种植、绿化养护等相关经营范围。</w:t>
      </w:r>
    </w:p>
    <w:p w14:paraId="5C68066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2、报价人务必将上述材料与投标书（见附件）一起进行密封，密封袋封口处应密封，并应加盖投标人公章及法定代表人印章或其授权的委托代理人印章。封套上应注明参与报价的项目名称及报价人公司名称。 </w:t>
      </w:r>
    </w:p>
    <w:p w14:paraId="0309C148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3、投标有效期：为15日历天（从投标截止之日算起）</w:t>
      </w:r>
    </w:p>
    <w:p w14:paraId="46A34F41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、中标人确定</w:t>
      </w:r>
    </w:p>
    <w:p w14:paraId="37166806">
      <w:pPr>
        <w:spacing w:line="360" w:lineRule="auto"/>
        <w:ind w:firstLine="480" w:firstLineChars="2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评标方式：综合评分，详见评分表附件2</w:t>
      </w:r>
    </w:p>
    <w:p w14:paraId="382E1AA6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、报价截止时间</w:t>
      </w:r>
    </w:p>
    <w:p w14:paraId="66B32612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2025年9月23日上午9:00 </w:t>
      </w:r>
      <w:r>
        <w:rPr>
          <w:rFonts w:hint="eastAsia" w:ascii="宋体" w:hAnsi="宋体"/>
          <w:sz w:val="24"/>
        </w:rPr>
        <w:t>，逾期</w:t>
      </w:r>
      <w:bookmarkStart w:id="6" w:name="OLE_LINK2"/>
      <w:r>
        <w:rPr>
          <w:rFonts w:hint="eastAsia" w:ascii="宋体" w:hAnsi="宋体"/>
          <w:sz w:val="24"/>
        </w:rPr>
        <w:t>送达或</w:t>
      </w:r>
      <w:bookmarkEnd w:id="6"/>
      <w:r>
        <w:rPr>
          <w:rFonts w:hint="eastAsia" w:ascii="宋体" w:hAnsi="宋体"/>
          <w:sz w:val="24"/>
        </w:rPr>
        <w:t>未送达指定地点的报价文件不予受理。</w:t>
      </w:r>
    </w:p>
    <w:p w14:paraId="58CF568C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、报价文件接收单位及相关联系人：</w:t>
      </w:r>
    </w:p>
    <w:p w14:paraId="333AE366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1、文件提交地址：张家港市锦丰镇三兴街道2202号，张家港联合铜业有限公司</w:t>
      </w:r>
    </w:p>
    <w:p w14:paraId="631434A6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综合</w:t>
      </w:r>
      <w:r>
        <w:rPr>
          <w:rFonts w:hint="eastAsia" w:ascii="宋体" w:hAnsi="宋体"/>
          <w:sz w:val="24"/>
        </w:rPr>
        <w:t>部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招标办；邮编：215624 </w:t>
      </w:r>
    </w:p>
    <w:p w14:paraId="0D57AA20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2、接收时间：投标截止日期前每天上午8：00至11：30，下午13：30至16：30，节假日除外。</w:t>
      </w:r>
    </w:p>
    <w:p w14:paraId="52771034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3、投标联系人：</w:t>
      </w:r>
      <w:r>
        <w:rPr>
          <w:rFonts w:hint="eastAsia" w:ascii="宋体" w:hAnsi="宋体"/>
          <w:sz w:val="24"/>
          <w:lang w:val="en-US" w:eastAsia="zh-CN"/>
        </w:rPr>
        <w:t>侯燕州</w:t>
      </w:r>
      <w:r>
        <w:rPr>
          <w:rFonts w:hint="eastAsia" w:ascii="宋体" w:hAnsi="宋体"/>
          <w:sz w:val="24"/>
        </w:rPr>
        <w:t>（0512-</w:t>
      </w:r>
      <w:r>
        <w:rPr>
          <w:rFonts w:ascii="宋体" w:hAnsi="宋体"/>
          <w:sz w:val="24"/>
        </w:rPr>
        <w:t>585</w:t>
      </w:r>
      <w:r>
        <w:rPr>
          <w:rFonts w:hint="eastAsia" w:ascii="宋体" w:hAnsi="宋体"/>
          <w:sz w:val="24"/>
          <w:lang w:val="en-US" w:eastAsia="zh-CN"/>
        </w:rPr>
        <w:t>32608</w:t>
      </w:r>
      <w:r>
        <w:rPr>
          <w:rFonts w:hint="eastAsia" w:ascii="宋体" w:hAnsi="宋体"/>
          <w:sz w:val="24"/>
        </w:rPr>
        <w:t>）</w:t>
      </w:r>
    </w:p>
    <w:p w14:paraId="104C5504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4、业务咨询联系人：综合部  </w:t>
      </w:r>
      <w:r>
        <w:rPr>
          <w:rFonts w:hint="eastAsia" w:ascii="宋体" w:hAnsi="宋体"/>
          <w:sz w:val="24"/>
          <w:lang w:val="en-US" w:eastAsia="zh-CN"/>
        </w:rPr>
        <w:t>许仙</w:t>
      </w:r>
      <w:r>
        <w:rPr>
          <w:rFonts w:hint="eastAsia" w:ascii="宋体" w:hAnsi="宋体"/>
          <w:sz w:val="24"/>
        </w:rPr>
        <w:t>（0512-</w:t>
      </w:r>
      <w:r>
        <w:rPr>
          <w:rFonts w:ascii="宋体" w:hAnsi="宋体"/>
          <w:sz w:val="24"/>
        </w:rPr>
        <w:t>585</w:t>
      </w:r>
      <w:r>
        <w:rPr>
          <w:rFonts w:hint="eastAsia" w:ascii="宋体" w:hAnsi="宋体"/>
          <w:sz w:val="24"/>
          <w:lang w:val="en-US" w:eastAsia="zh-CN"/>
        </w:rPr>
        <w:t>32608</w:t>
      </w:r>
      <w:r>
        <w:rPr>
          <w:rFonts w:hint="eastAsia" w:ascii="宋体" w:hAnsi="宋体"/>
          <w:sz w:val="24"/>
        </w:rPr>
        <w:t>）</w:t>
      </w:r>
    </w:p>
    <w:p w14:paraId="4139EDD6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FF0000"/>
          <w:sz w:val="24"/>
          <w:highlight w:val="none"/>
        </w:rPr>
        <w:t>（注：所有的投标材料只接收快递邮寄的形式，且快递包装外注明竞价项目名称及编号。不接收私人上门送达投标材料，否则将被视为无效报价。）</w:t>
      </w:r>
    </w:p>
    <w:p w14:paraId="3DCAFBD9">
      <w:pPr>
        <w:spacing w:line="360" w:lineRule="auto"/>
        <w:rPr>
          <w:rFonts w:hint="eastAsia" w:ascii="宋体" w:hAnsi="宋体"/>
          <w:sz w:val="24"/>
        </w:rPr>
      </w:pPr>
    </w:p>
    <w:p w14:paraId="25735549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宋体" w:hAnsi="宋体" w:cs="宋体"/>
          <w:b/>
          <w:bCs/>
          <w:sz w:val="28"/>
          <w:szCs w:val="28"/>
        </w:rPr>
        <w:t>、附件</w:t>
      </w:r>
    </w:p>
    <w:p w14:paraId="01D925E8">
      <w:pPr>
        <w:jc w:val="left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附件1：明细信息表</w:t>
      </w:r>
    </w:p>
    <w:p w14:paraId="57FE62A1">
      <w:pPr>
        <w:jc w:val="left"/>
        <w:rPr>
          <w:rFonts w:hint="default" w:ascii="楷体" w:hAnsi="楷体" w:eastAsia="楷体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Cs/>
          <w:sz w:val="28"/>
          <w:szCs w:val="28"/>
          <w:lang w:val="en-US" w:eastAsia="zh-CN"/>
        </w:rPr>
        <w:t>附件</w:t>
      </w:r>
      <w:r>
        <w:rPr>
          <w:rFonts w:hint="eastAsia" w:ascii="楷体" w:hAnsi="楷体" w:eastAsia="楷体"/>
          <w:bCs/>
          <w:sz w:val="24"/>
          <w:lang w:val="en-US" w:eastAsia="zh-CN"/>
        </w:rPr>
        <w:t>2：</w:t>
      </w:r>
      <w:r>
        <w:rPr>
          <w:rFonts w:hint="eastAsia" w:ascii="宋体" w:hAnsi="宋体"/>
          <w:sz w:val="24"/>
          <w:lang w:val="en-US" w:eastAsia="zh-CN"/>
        </w:rPr>
        <w:t>评分表</w:t>
      </w:r>
    </w:p>
    <w:p w14:paraId="39F5D710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7783CD11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076D6C19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45D68DA7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047BA3EA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63E277D8">
      <w:pPr>
        <w:jc w:val="center"/>
        <w:rPr>
          <w:rFonts w:ascii="楷体" w:hAnsi="楷体" w:eastAsia="楷体"/>
          <w:sz w:val="40"/>
          <w:szCs w:val="40"/>
        </w:rPr>
      </w:pPr>
      <w:r>
        <w:rPr>
          <w:rFonts w:hint="eastAsia" w:ascii="楷体" w:hAnsi="楷体" w:eastAsia="楷体"/>
          <w:b/>
          <w:bCs/>
          <w:sz w:val="40"/>
          <w:szCs w:val="40"/>
        </w:rPr>
        <w:t>投标文件</w:t>
      </w:r>
    </w:p>
    <w:p w14:paraId="19BAF021">
      <w:pPr>
        <w:jc w:val="left"/>
        <w:rPr>
          <w:rFonts w:ascii="楷体" w:hAnsi="楷体" w:eastAsia="楷体"/>
          <w:sz w:val="24"/>
        </w:rPr>
      </w:pPr>
    </w:p>
    <w:p w14:paraId="4352AE18">
      <w:pPr>
        <w:jc w:val="left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附件1：明细信息表</w:t>
      </w:r>
    </w:p>
    <w:p w14:paraId="402C9045">
      <w:pPr>
        <w:jc w:val="left"/>
        <w:rPr>
          <w:rFonts w:ascii="楷体" w:hAnsi="楷体" w:eastAsia="楷体"/>
          <w:sz w:val="24"/>
        </w:rPr>
      </w:pPr>
    </w:p>
    <w:tbl>
      <w:tblPr>
        <w:tblStyle w:val="8"/>
        <w:tblW w:w="99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857"/>
        <w:gridCol w:w="1554"/>
        <w:gridCol w:w="1446"/>
        <w:gridCol w:w="1705"/>
        <w:gridCol w:w="2561"/>
      </w:tblGrid>
      <w:tr w14:paraId="3B757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46" w:type="dxa"/>
            <w:vAlign w:val="center"/>
          </w:tcPr>
          <w:p w14:paraId="27F88E00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57" w:type="dxa"/>
            <w:vAlign w:val="center"/>
          </w:tcPr>
          <w:p w14:paraId="2B56ABAB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554" w:type="dxa"/>
            <w:vAlign w:val="center"/>
          </w:tcPr>
          <w:p w14:paraId="2EF70F9C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服务地区</w:t>
            </w:r>
          </w:p>
        </w:tc>
        <w:tc>
          <w:tcPr>
            <w:tcW w:w="1446" w:type="dxa"/>
            <w:vAlign w:val="center"/>
          </w:tcPr>
          <w:p w14:paraId="29D0A344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服务期限</w:t>
            </w:r>
          </w:p>
        </w:tc>
        <w:tc>
          <w:tcPr>
            <w:tcW w:w="1705" w:type="dxa"/>
            <w:vAlign w:val="center"/>
          </w:tcPr>
          <w:p w14:paraId="6568F764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报价</w:t>
            </w:r>
          </w:p>
        </w:tc>
        <w:tc>
          <w:tcPr>
            <w:tcW w:w="2561" w:type="dxa"/>
            <w:vAlign w:val="center"/>
          </w:tcPr>
          <w:p w14:paraId="328187EF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填写说明</w:t>
            </w:r>
          </w:p>
        </w:tc>
      </w:tr>
      <w:tr w14:paraId="2FF1F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846" w:type="dxa"/>
            <w:vAlign w:val="center"/>
          </w:tcPr>
          <w:p w14:paraId="775F6FB0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1</w:t>
            </w:r>
          </w:p>
        </w:tc>
        <w:tc>
          <w:tcPr>
            <w:tcW w:w="1857" w:type="dxa"/>
            <w:vAlign w:val="center"/>
          </w:tcPr>
          <w:p w14:paraId="76E41186">
            <w:pPr>
              <w:spacing w:line="340" w:lineRule="exact"/>
              <w:jc w:val="center"/>
              <w:rPr>
                <w:rFonts w:hint="default"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1"/>
                <w:sz w:val="24"/>
                <w:u w:val="single"/>
              </w:rPr>
              <w:t>绿化</w:t>
            </w:r>
            <w:r>
              <w:rPr>
                <w:rFonts w:hint="eastAsia" w:ascii="宋体" w:hAnsi="宋体" w:cs="宋体"/>
                <w:kern w:val="1"/>
                <w:sz w:val="24"/>
                <w:u w:val="single"/>
                <w:lang w:val="en-US" w:eastAsia="zh-CN"/>
              </w:rPr>
              <w:t>维护服务</w:t>
            </w:r>
          </w:p>
        </w:tc>
        <w:tc>
          <w:tcPr>
            <w:tcW w:w="1554" w:type="dxa"/>
            <w:vAlign w:val="center"/>
          </w:tcPr>
          <w:p w14:paraId="0498F001">
            <w:pPr>
              <w:spacing w:line="340" w:lineRule="exact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张家港市</w:t>
            </w:r>
          </w:p>
        </w:tc>
        <w:tc>
          <w:tcPr>
            <w:tcW w:w="1446" w:type="dxa"/>
            <w:vAlign w:val="center"/>
          </w:tcPr>
          <w:p w14:paraId="7B343C93">
            <w:pPr>
              <w:spacing w:line="340" w:lineRule="exact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365日</w:t>
            </w:r>
          </w:p>
        </w:tc>
        <w:tc>
          <w:tcPr>
            <w:tcW w:w="1705" w:type="dxa"/>
            <w:vAlign w:val="center"/>
          </w:tcPr>
          <w:p w14:paraId="399206FF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费用单价：   </w:t>
            </w:r>
          </w:p>
          <w:p w14:paraId="46683B5A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元/㎡ 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税率     %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</w:t>
            </w:r>
          </w:p>
        </w:tc>
        <w:tc>
          <w:tcPr>
            <w:tcW w:w="2561" w:type="dxa"/>
            <w:vAlign w:val="center"/>
          </w:tcPr>
          <w:p w14:paraId="1DC01F2D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外包面积为全公司管辖区域</w:t>
            </w:r>
          </w:p>
        </w:tc>
      </w:tr>
    </w:tbl>
    <w:p w14:paraId="765F672D">
      <w:pPr>
        <w:spacing w:line="460" w:lineRule="exact"/>
        <w:jc w:val="left"/>
        <w:rPr>
          <w:rFonts w:hint="eastAsia" w:ascii="楷体" w:hAnsi="楷体" w:eastAsia="楷体"/>
          <w:bCs/>
          <w:sz w:val="24"/>
          <w:lang w:val="en-US" w:eastAsia="zh-CN"/>
        </w:rPr>
      </w:pPr>
    </w:p>
    <w:p w14:paraId="5BDC5E0B">
      <w:pPr>
        <w:spacing w:line="460" w:lineRule="exact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楷体" w:hAnsi="楷体" w:eastAsia="楷体"/>
          <w:bCs/>
          <w:sz w:val="24"/>
          <w:lang w:val="en-US" w:eastAsia="zh-CN"/>
        </w:rPr>
        <w:t>附件2</w:t>
      </w:r>
      <w:r>
        <w:rPr>
          <w:rFonts w:hint="eastAsia" w:ascii="宋体" w:hAnsi="宋体"/>
          <w:sz w:val="24"/>
          <w:lang w:val="en-US" w:eastAsia="zh-CN"/>
        </w:rPr>
        <w:t>评分表</w:t>
      </w:r>
    </w:p>
    <w:tbl>
      <w:tblPr>
        <w:tblStyle w:val="7"/>
        <w:tblW w:w="99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2216"/>
        <w:gridCol w:w="6823"/>
      </w:tblGrid>
      <w:tr w14:paraId="78847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评标方式：综合评分，总分100分，得分最高投标单位中标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报价价格（70分）</w:t>
            </w:r>
          </w:p>
        </w:tc>
        <w:tc>
          <w:tcPr>
            <w:tcW w:w="6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满分70分。报价有效的前提下最低价得满分，投标报价比最低价每增加1%，</w:t>
            </w:r>
            <w:bookmarkStart w:id="7" w:name="_GoBack"/>
            <w:bookmarkEnd w:id="7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得分减0.3分，得分保留两位小数。</w:t>
            </w:r>
          </w:p>
        </w:tc>
      </w:tr>
      <w:tr w14:paraId="5766D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C0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业绩（15分）</w:t>
            </w:r>
          </w:p>
        </w:tc>
        <w:tc>
          <w:tcPr>
            <w:tcW w:w="6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2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要求提供近两年内为类似厂区或商业项目服务合同证明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一份3分，最高15分。</w:t>
            </w:r>
          </w:p>
        </w:tc>
      </w:tr>
      <w:tr w14:paraId="5D7B6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A9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94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养护服务方案（1-10）</w:t>
            </w:r>
          </w:p>
        </w:tc>
        <w:tc>
          <w:tcPr>
            <w:tcW w:w="6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8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方案需包含养护流程、标准、季节性调整、人员配置、病害虫防治，详细可行者高分。</w:t>
            </w:r>
          </w:p>
        </w:tc>
      </w:tr>
      <w:tr w14:paraId="2CEDC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3F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工人年龄（5分）</w:t>
            </w:r>
          </w:p>
        </w:tc>
        <w:tc>
          <w:tcPr>
            <w:tcW w:w="6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工人年龄≤55岁的5分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工人年龄55-65的3分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工人年龄≥65的1分</w:t>
            </w:r>
          </w:p>
          <w:p w14:paraId="5DF5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需提供工作人员身份证复印件</w:t>
            </w:r>
          </w:p>
        </w:tc>
      </w:tr>
    </w:tbl>
    <w:p w14:paraId="589B2084">
      <w:pPr>
        <w:spacing w:line="460" w:lineRule="exact"/>
        <w:jc w:val="left"/>
        <w:rPr>
          <w:rFonts w:hint="default" w:ascii="楷体" w:hAnsi="楷体" w:eastAsia="楷体"/>
          <w:bCs/>
          <w:sz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pgNumType w:start="1" w:chapStyle="1"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8E1C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F8AADC1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8AADC1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8468D">
    <w:pPr>
      <w:pStyle w:val="5"/>
    </w:pPr>
    <w:r>
      <w:drawing>
        <wp:inline distT="0" distB="0" distL="114300" distR="114300">
          <wp:extent cx="227965" cy="204470"/>
          <wp:effectExtent l="0" t="0" r="635" b="5080"/>
          <wp:docPr id="7" name="图片 7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楷体_GB2312" w:eastAsia="楷体_GB2312"/>
        <w:u w:val="single"/>
      </w:rPr>
      <w:t>202</w:t>
    </w:r>
    <w:r>
      <w:rPr>
        <w:rFonts w:hint="eastAsia" w:ascii="楷体_GB2312" w:eastAsia="楷体_GB2312"/>
        <w:u w:val="single"/>
        <w:lang w:val="en-US" w:eastAsia="zh-CN"/>
      </w:rPr>
      <w:t>5</w:t>
    </w:r>
    <w:r>
      <w:rPr>
        <w:rFonts w:hint="eastAsia" w:ascii="楷体_GB2312" w:eastAsia="楷体_GB2312"/>
        <w:u w:val="single"/>
      </w:rPr>
      <w:t>年绿化养护外包竞价公告                                                                    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7C347A44"/>
    <w:rsid w:val="098954E5"/>
    <w:rsid w:val="0AF20489"/>
    <w:rsid w:val="194E468B"/>
    <w:rsid w:val="2361246D"/>
    <w:rsid w:val="23B3192E"/>
    <w:rsid w:val="257E1B4E"/>
    <w:rsid w:val="3028627B"/>
    <w:rsid w:val="3A151D5E"/>
    <w:rsid w:val="4E7715F4"/>
    <w:rsid w:val="522313D5"/>
    <w:rsid w:val="60BF0990"/>
    <w:rsid w:val="67467D9E"/>
    <w:rsid w:val="72DC6786"/>
    <w:rsid w:val="79DF7F20"/>
    <w:rsid w:val="7C347A44"/>
    <w:rsid w:val="7CF7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ordWrap w:val="0"/>
      <w:spacing w:after="160"/>
      <w:outlineLvl w:val="1"/>
    </w:p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"/>
    <w:basedOn w:val="3"/>
    <w:next w:val="2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1742</Words>
  <Characters>1828</Characters>
  <Lines>0</Lines>
  <Paragraphs>0</Paragraphs>
  <TotalTime>4</TotalTime>
  <ScaleCrop>false</ScaleCrop>
  <LinksUpToDate>false</LinksUpToDate>
  <CharactersWithSpaces>1910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2023-09-07T05:34:00Z</dcterms:created>
  <dc:creator>liuying</dc:creator>
  <cp:lastModifiedBy>houyz</cp:lastModifiedBy>
  <dcterms:modified xsi:type="dcterms:W3CDTF">2025-09-16T05:43:50Z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1816B1C9F90049B39263F28E7E7640A4_13</vt:lpwstr>
  </property>
  <property fmtid="{D5CDD505-2E9C-101B-9397-08002B2CF9AE}" pid="4" name="KSOTemplateDocerSaveRecord">
    <vt:lpwstr>eyJoZGlkIjoiMTRmYzA0ZjFkNGFiODM3ZTk4ODMzZWU1YjNjZTNkOTUiLCJ1c2VySWQiOiIyODYxNDcyMjAifQ==</vt:lpwstr>
  </property>
</Properties>
</file>